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МУНИЦИПАЛЬНОГО ОБРАЗОВАНИЯ АЩЕБУТАКСКИЙ СЕЛЬСОВЕТ ДОМБАРОВСКОГО РАЙОНА ОРЕНБУРГСКОЙ ОБЛАСТИ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22.06.2017 г.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№ 53-п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утверждении Программы комплексного развития транспортной инфраструктуры муниципального образования Ащебутакский сельсовет Домбаровского района Оренбургской области на период 2017-2025 годы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ind w:left="0" w:right="0" w:firstLine="737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В соответствии с постановлением Правительства Российской Федерации от 25 декабря 2015 года № 1440 «Об утверждении требований к программам комплексного развития транспортной  инфраструктуры поселений, городских округов», Уставом муниципального образования Ащебутакский сельсовет Домбаровского района Оренбургской области, Генеральным планом муниципального образования Ащебутакский сельсовет Домбаровского района Оренбургской области:</w:t>
      </w:r>
    </w:p>
    <w:p>
      <w:pPr>
        <w:pStyle w:val="Normal"/>
        <w:ind w:left="0" w:right="0" w:firstLine="737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1. Утвердить Программу комплексного развития транспортной инфраструктуры муниципального образования Ащебутакский сельсовет Домбаровского района Оренбургской области на период 2017-2025 годы.</w:t>
      </w:r>
    </w:p>
    <w:p>
      <w:pPr>
        <w:pStyle w:val="Normal"/>
        <w:ind w:left="0" w:right="0" w:firstLine="737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2. Контроль за исполнением настоящего постановления  оставляю за собой. </w:t>
      </w:r>
    </w:p>
    <w:p>
      <w:pPr>
        <w:pStyle w:val="Normal"/>
        <w:ind w:left="0" w:right="0" w:firstLine="737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3. Настоящее постановление вступает в силу после его подписания и подлежит размещению на официальном сайте муниципального образования Ащебутакский сельсовет Домбаровского района Оренбургской области в сети «Интернет». </w:t>
      </w:r>
    </w:p>
    <w:p>
      <w:pPr>
        <w:pStyle w:val="Normal"/>
        <w:ind w:left="0" w:right="0" w:firstLine="737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ind w:left="0" w:right="0" w:firstLine="737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ind w:left="0" w:right="0" w:firstLine="737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Глава  администрации                                                                      К.М. Кибатаев</w:t>
      </w:r>
    </w:p>
    <w:p>
      <w:pPr>
        <w:pStyle w:val="Normal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pageBreakBefore w:val="false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Разослано: райадминистрации, райпрокуратуре, в дело</w:t>
      </w:r>
    </w:p>
    <w:p>
      <w:pPr>
        <w:pStyle w:val="Normal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Программа комплексного развития транспортной инфраструктуры муниципального образования Ащебутакский сельсовет Домбаровского района Оренбургской области  </w:t>
      </w:r>
    </w:p>
    <w:p>
      <w:pPr>
        <w:pStyle w:val="Normal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период 2017 -2025 годы</w:t>
      </w:r>
    </w:p>
    <w:p>
      <w:pPr>
        <w:pStyle w:val="Normal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  <w:r>
        <w:br w:type="page"/>
      </w:r>
    </w:p>
    <w:p>
      <w:pPr>
        <w:pStyle w:val="Normal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pageBreakBefore w:val="false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ПРОГРАММА</w:t>
      </w:r>
    </w:p>
    <w:p>
      <w:pPr>
        <w:pStyle w:val="Normal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комплексного  развития транспортной инфраструктуры на территории муниципального образования Ащебутакский сельсовет Домбаровского района Оренбургской области </w:t>
      </w:r>
    </w:p>
    <w:p>
      <w:pPr>
        <w:pStyle w:val="Normal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на 2017 – 2025 годы</w:t>
      </w:r>
    </w:p>
    <w:p>
      <w:pPr>
        <w:pStyle w:val="Normal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1. Паспорт программы</w:t>
      </w:r>
    </w:p>
    <w:p>
      <w:pPr>
        <w:pStyle w:val="Normal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 </w:t>
      </w:r>
    </w:p>
    <w:p>
      <w:pPr>
        <w:pStyle w:val="Normal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Наименование программы</w:t>
      </w:r>
    </w:p>
    <w:p>
      <w:pPr>
        <w:pStyle w:val="Normal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Программа «Комплексное развитие транспортной инфраструктуры на территории муниципального образования Ащебутакский сельсовет Домбаровского района Оренбургской области на 2017-2025 годы» (далее – Программа)</w:t>
      </w:r>
    </w:p>
    <w:p>
      <w:pPr>
        <w:pStyle w:val="Normal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Основания для разработки программы</w:t>
      </w:r>
    </w:p>
    <w:p>
      <w:pPr>
        <w:pStyle w:val="Normal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Федеральный закон от 29.12.2014 N 456-ФЗ "О внесении изменений в Градостроительный кодекс Российской Федерации и отдельные законодательные акты Российской Федерации", Федеральный закон от 06 октября 2003 года № 131-ФЗ «Об общих принципах организации местного самоуправления в Российской Федерации»,  Постановление Правительства РФ от 1 октября 2015 г. N 1050 "Об утверждении требований к программам комплексного развития социальной инфраструктуры поселений, городских округов», Постановление Правительства РФ от 25 декабря 2015 г. № 1440 “Об утверждении требований к программам комплексного развития транспортной инфраструктуры поселений, городских округов», Устав  муниципального образования Ащебутакский сельсовет Домбаровского района Оренбургской области, Постановление администрации муниципального образования Ащебутакский сельсовет Домбаровского района Оренбургской области от 01.03.2017 г. № 18-п  «О разработке программы комплексного развития транспортной инфраструктуры муниципального образования Ащебутакский сельсовет Домбаровского района Оренбургской области», Генеральный план  муниципального образования Ащебутакский сельсовет Домбаровского района Оренбургской области</w:t>
      </w:r>
    </w:p>
    <w:tbl>
      <w:tblPr>
        <w:tblW w:w="9355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677"/>
        <w:gridCol w:w="4677"/>
      </w:tblGrid>
      <w:tr>
        <w:trPr/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Заказчик программы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Администрация муниципального образования Ащебутакский сельсовет Домбаровского района Оренбургской области, адрес:</w:t>
            </w:r>
          </w:p>
        </w:tc>
      </w:tr>
      <w:tr>
        <w:trPr/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Исполнители программы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 xml:space="preserve">Администрация муниципального образования Ащебутакский сельсовет Домбаровского района Оренбургской области, отдел архитектуры и градостроительства администрации  муниципального образования </w:t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>Домбаровский</w:t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 xml:space="preserve"> район Оренбургской области</w:t>
            </w:r>
          </w:p>
        </w:tc>
      </w:tr>
      <w:tr>
        <w:trPr/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Цель программы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Комплексное развитие транспортной инфраструктуры  муниципального образования Ащебутакский сельсовет Домбаровского района Оренбургской области</w:t>
            </w:r>
          </w:p>
        </w:tc>
      </w:tr>
      <w:tr>
        <w:trPr/>
        <w:tc>
          <w:tcPr>
            <w:tcW w:w="4677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Задачи программы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- безопасность, качество  и эффективность транспортного обслуживания населения, юридических лиц и индивидуальных предпринимателей сельского поселения;                                                                          - доступность объектов транспортной инфраструктуры  для населения и субъектов экономической деятельности в соответствии с нормативами градостроительного проектирования сельского поселения;</w:t>
            </w:r>
          </w:p>
        </w:tc>
      </w:tr>
      <w:tr>
        <w:trPr/>
        <w:tc>
          <w:tcPr>
            <w:tcW w:w="4677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-эффективность функционирования действующей транспортной инфраструктуры.</w:t>
            </w:r>
          </w:p>
        </w:tc>
      </w:tr>
      <w:tr>
        <w:trPr/>
        <w:tc>
          <w:tcPr>
            <w:tcW w:w="4677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Целевые показатели (индикаторы) программы</w:t>
            </w:r>
          </w:p>
          <w:p>
            <w:pPr>
              <w:pStyle w:val="Normal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 xml:space="preserve">- снижение удельного веса дорог, нуждающихся в капитальном ремонте (реконструкции);       </w:t>
            </w:r>
          </w:p>
        </w:tc>
      </w:tr>
      <w:tr>
        <w:trPr/>
        <w:tc>
          <w:tcPr>
            <w:tcW w:w="4677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- увеличение протяженности дорог с твердым покрытием;</w:t>
            </w:r>
          </w:p>
        </w:tc>
      </w:tr>
      <w:tr>
        <w:trPr/>
        <w:tc>
          <w:tcPr>
            <w:tcW w:w="4677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 xml:space="preserve">- достижение расчетного уровня обеспеченности населения услугами транспортной инфраструктуры. </w:t>
            </w:r>
          </w:p>
        </w:tc>
      </w:tr>
      <w:tr>
        <w:trPr/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2017 – 2025  годы</w:t>
            </w:r>
          </w:p>
        </w:tc>
      </w:tr>
    </w:tbl>
    <w:p>
      <w:pPr>
        <w:pStyle w:val="Normal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Укрупненное описание запланированных мероприятий программы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- разработка проектно-сметной документации;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-   реконструкция существующих дорог;                                                 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-   ремонт и капитальный ремонт дорог.                                                                           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Объемы и источники финансирования программы                                       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Источники финансирования: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-  средства местного бюджета: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2018 г. – </w:t>
      </w:r>
      <w:r>
        <w:rPr>
          <w:rFonts w:ascii="Times New Roman" w:hAnsi="Times New Roman"/>
          <w:b w:val="false"/>
          <w:bCs w:val="false"/>
          <w:sz w:val="28"/>
          <w:szCs w:val="28"/>
        </w:rPr>
        <w:t>не определено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2019 г. – </w:t>
      </w:r>
      <w:r>
        <w:rPr>
          <w:rFonts w:ascii="Times New Roman" w:hAnsi="Times New Roman"/>
          <w:b w:val="false"/>
          <w:bCs w:val="false"/>
          <w:sz w:val="28"/>
          <w:szCs w:val="28"/>
        </w:rPr>
        <w:t>не определено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Средства местного бюджета на 2020-2025 годы уточняются при формировании бюджета на очередной финансовый период.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Ожидаемые результаты  реализации Программы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- повышение качества, эффективности  и доступности транспортного обслуживания населения  и субъектов экономической деятельности сельского поселения;                                    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-  обеспечение надежности и безопасности системы транспортной инфраструктуры.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2. Характеристика существующего состояния транспортной инфраструктуры  муниципального образования Ащебутакский сельсовет Домбаровского района Оренбургской области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2.1.  Автомобильные дороги являются обязательной составной частью любой хозяйственной системы. При этом автомобильные дороги выполняют не только функцию связи, но и сами являются побудительным фактором к созданию мощных хозяйственных систем. Дороги, связывая пространственно разделенные части хозяйственной системы, делают их доступными и создают благоприятные условия для развития взаимодополняющих отношений между населенными пунктами. </w:t>
      </w:r>
    </w:p>
    <w:p>
      <w:pPr>
        <w:pStyle w:val="Normal"/>
        <w:spacing w:before="0" w:after="0"/>
        <w:ind w:firstLine="7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приоритеты по развитию транспортной инфраструктуры состоят в приведение сети автомобильных дорог в соответствие с потребностями населения, обеспечение соответствующего технического состояния, пропускной способности, повышение безопасности движения, круглогодичной транспортной доступности до всех населенных пунктов. </w:t>
      </w:r>
    </w:p>
    <w:p>
      <w:pPr>
        <w:pStyle w:val="Normal"/>
        <w:spacing w:before="0" w:after="0"/>
        <w:ind w:firstLine="7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перечня автомобильных дорог общего пользования </w:t>
      </w:r>
      <w:r>
        <w:rPr>
          <w:rFonts w:ascii="Times New Roman" w:hAnsi="Times New Roman"/>
          <w:b w:val="false"/>
          <w:bCs w:val="false"/>
          <w:sz w:val="28"/>
          <w:szCs w:val="28"/>
        </w:rPr>
        <w:t>регионального и межмуниципального значения, находящихся в государственной собственности Оренбургской области на основании постановления Правительства Оренбургской области от 10.04.2012 г. № 313-п, на территории Домбаровского района общая протяженность сети автомобильных дорог составляет 277,23 км., в том числе с твердым покрытием — 2</w:t>
      </w:r>
      <w:r>
        <w:rPr>
          <w:rFonts w:ascii="Times New Roman" w:hAnsi="Times New Roman"/>
          <w:b w:val="false"/>
          <w:bCs w:val="false"/>
          <w:sz w:val="28"/>
          <w:szCs w:val="28"/>
        </w:rPr>
        <w:t>6</w:t>
      </w:r>
      <w:r>
        <w:rPr>
          <w:rFonts w:ascii="Times New Roman" w:hAnsi="Times New Roman"/>
          <w:b w:val="false"/>
          <w:bCs w:val="false"/>
          <w:sz w:val="28"/>
          <w:szCs w:val="28"/>
        </w:rPr>
        <w:t>0,31 км., число мостов — 12. Протяженность автомобильных дорог федерального значения — 74,8 км.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В поселении  работает  школа,   детский сад, дом культуры с библиотечным обслуживанием, врачебная амбулатория, отделение «Почта России», </w:t>
      </w:r>
      <w:r>
        <w:rPr>
          <w:rFonts w:ascii="Times New Roman" w:hAnsi="Times New Roman"/>
          <w:b w:val="false"/>
          <w:bCs w:val="false"/>
          <w:sz w:val="28"/>
          <w:szCs w:val="28"/>
        </w:rPr>
        <w:t>5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магазинов, предприятие коммунального хозяйства, ДНД.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2.2.  Характеристика деятельности в сфере транспорта, оценка транспортного спроса.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before="0" w:after="0"/>
        <w:ind w:firstLine="6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Ащебутакский сельсовет расположен на важных транспортных путях региона. Административно-хозяйственным центром является село Ащебутак, расположенное в 45,5 км. от районного центра — пос. Домбаровский, в 31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,5 км. от областного центра — Оренбург, в 41,5 км. от г. Орска. По территории сельсовета проходит не электрифицированное железнодорожное сообщение. </w:t>
      </w:r>
    </w:p>
    <w:p>
      <w:pPr>
        <w:pStyle w:val="Normal"/>
        <w:spacing w:before="0" w:after="0"/>
        <w:ind w:firstLine="6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Внешние транспортные связи МО осуществляются по железной и автомобильным дорогам. Связи со смежными районами Оренбургской области осуществляются по автомобильным дорогам: регионального значения, а также разветвленной сетью дорог местного значения. </w:t>
      </w:r>
    </w:p>
    <w:p>
      <w:pPr>
        <w:pStyle w:val="Normal"/>
        <w:spacing w:before="0" w:after="0"/>
        <w:ind w:firstLine="65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По территории Ащебутакского сельсовета проходят значимые автомобильные направления, формирующие главные планировочные оси, важные для экономического развития области: автомобильная дорога регионального значения «Орск-Домбаровский-Светлый».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Транспортно-планировочную структуру села можно определить как линейную, вытянутую вдоль главн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ых дорог и улиц. Новую жилую застройку планируется вести в продолжение развития существующей планировочной структуры населенного пункта, в основном за счет существующих резервных территорий. 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Транспортно-экономические связи муниципального образования Ащебутакский сельсовет Домбаровского района Оренбургской области осуществляются </w:t>
      </w:r>
      <w:r>
        <w:rPr>
          <w:rFonts w:ascii="Times New Roman" w:hAnsi="Times New Roman"/>
          <w:b w:val="false"/>
          <w:bCs w:val="false"/>
          <w:color w:val="800000"/>
          <w:sz w:val="28"/>
          <w:szCs w:val="28"/>
        </w:rPr>
        <w:t>только автомобильным видом транспорта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. Транспортные предприятия на территории поселения отсутствуют. Основным видом пассажирского транспорта поселения является автобусное сообщение. Большинство трудовых передвижений в поселении приходится на личный транспорт и пешеходные сообщения.                                                                                                                         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В основе оценки транспортного спроса лежит анализ передвижения населения к объектам тяготения.   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Можно выделить основные группы объектов тяготения: 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- объекты социальной сферы;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- объекты трудовой деятельности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2.3. Характеристика функционирования и показатели работы транспортной инфраструктуры по видам транспорта.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Автомобилизация поселения (</w:t>
      </w:r>
      <w:r>
        <w:rPr>
          <w:rFonts w:ascii="Times New Roman" w:hAnsi="Times New Roman"/>
          <w:b w:val="false"/>
          <w:bCs w:val="false"/>
          <w:sz w:val="28"/>
          <w:szCs w:val="28"/>
        </w:rPr>
        <w:t>210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единиц/1000 человек  в 2016 году) оценивается как средняя (при уровне автомобилизации в Российской Федерации 285 единиц на 1000 человек). Грузовой транспорт в основном представлен сельскохозяйственной техникой. В основе формирования улично-дорожной сети населенного пункта лежит: основная улица, второстепенные улицы, проезды, хозяйственные проезды.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2.4. Характеристика сети дорог поселения, параметры дорожного движения, оценка качества содержания дорог.                                                                                                                  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Дорожно-транспортная сеть поселения состоит из дорог, предназначенных не для скоростного движения. В таблице 2.4.1 приведен перечень и характеристики автомобильных дорог общего пользования местного значения.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Муниципальное образования Ащебутакский сельсовет Домбаровского района Оренбургской области обладает достаточно развитой автомобильной транспортной сетью и находится относительно недалеко от районного и г. Ор</w:t>
      </w:r>
      <w:r>
        <w:rPr>
          <w:rFonts w:ascii="Times New Roman" w:hAnsi="Times New Roman"/>
          <w:b w:val="false"/>
          <w:bCs w:val="false"/>
          <w:sz w:val="28"/>
          <w:szCs w:val="28"/>
        </w:rPr>
        <w:t>ск</w:t>
      </w:r>
      <w:r>
        <w:rPr>
          <w:rFonts w:ascii="Times New Roman" w:hAnsi="Times New Roman"/>
          <w:b w:val="false"/>
          <w:bCs w:val="false"/>
          <w:sz w:val="28"/>
          <w:szCs w:val="28"/>
        </w:rPr>
        <w:t>, что создаёт оптимальные условия для перемещения сырья и готовых товаров. Отсутствие альтернативных видов транспорта предъявляет большие требования к автомобильным дорогам. Строительства новых автомобильных дорог не производилось более 20 лет. Сохранение автодорожной инфраструктуры осуществлялось только за счет ремонта автодорог с твердым покрытием. В условиях ограниченного финансирования дорожных работ с каждым годом увеличивается протяженность дорог требующих ремонта.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Общая протяжённость дорожной сети составляет 1</w:t>
      </w:r>
      <w:r>
        <w:rPr>
          <w:rFonts w:ascii="Times New Roman" w:hAnsi="Times New Roman"/>
          <w:b w:val="false"/>
          <w:bCs w:val="false"/>
          <w:sz w:val="28"/>
          <w:szCs w:val="28"/>
        </w:rPr>
        <w:t>2</w:t>
      </w:r>
      <w:r>
        <w:rPr>
          <w:rFonts w:ascii="Times New Roman" w:hAnsi="Times New Roman"/>
          <w:b w:val="false"/>
          <w:bCs w:val="false"/>
          <w:sz w:val="28"/>
          <w:szCs w:val="28"/>
        </w:rPr>
        <w:t>,</w:t>
      </w:r>
      <w:r>
        <w:rPr>
          <w:rFonts w:ascii="Times New Roman" w:hAnsi="Times New Roman"/>
          <w:b w:val="false"/>
          <w:bCs w:val="false"/>
          <w:sz w:val="28"/>
          <w:szCs w:val="28"/>
        </w:rPr>
        <w:t>9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км. Почти все дороги требуют ямочного  и капитального ремонта.  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Таблица 2.</w:t>
      </w:r>
      <w:r>
        <w:rPr>
          <w:rFonts w:ascii="Times New Roman" w:hAnsi="Times New Roman"/>
          <w:b w:val="false"/>
          <w:bCs w:val="false"/>
          <w:sz w:val="28"/>
          <w:szCs w:val="28"/>
        </w:rPr>
        <w:t>4.1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Характеристика автомобильных дорог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Перечень автомобильных дорог общего пользования местного значения 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МО Ащебутакский сельсовет Домбаровского района Оренбургской области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</w:t>
      </w:r>
    </w:p>
    <w:p>
      <w:pPr>
        <w:pStyle w:val="Normal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tbl>
      <w:tblPr>
        <w:tblW w:w="9302" w:type="dxa"/>
        <w:jc w:val="left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80"/>
        <w:gridCol w:w="1460"/>
        <w:gridCol w:w="1940"/>
        <w:gridCol w:w="2120"/>
        <w:gridCol w:w="3102"/>
      </w:tblGrid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№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Протяженность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Тип покрытия </w:t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suppressAutoHyphens w:val="false"/>
              <w:snapToGrid w:val="false"/>
              <w:spacing w:lineRule="auto" w:line="240" w:before="0" w:after="0"/>
              <w:ind w:left="720" w:right="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Клубная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0" w:name="__DdeLink__47459_2123177858"/>
            <w:bookmarkEnd w:id="0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Грунт</w:t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8"/>
                <w:numId w:val="1"/>
              </w:numPr>
              <w:suppressAutoHyphens w:val="false"/>
              <w:snapToGrid w:val="false"/>
              <w:spacing w:lineRule="auto" w:line="240" w:before="0" w:after="0"/>
              <w:ind w:left="720" w:right="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Вокзальная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1183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Грунт</w:t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suppressAutoHyphens w:val="false"/>
              <w:snapToGrid w:val="false"/>
              <w:spacing w:lineRule="auto" w:line="240" w:before="0" w:after="0"/>
              <w:ind w:left="720" w:right="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п. Корсунский ул. Школьная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Грунт</w:t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suppressAutoHyphens w:val="false"/>
              <w:snapToGrid w:val="false"/>
              <w:spacing w:lineRule="auto" w:line="240" w:before="0" w:after="0"/>
              <w:ind w:left="720" w:right="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Разведская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Грунт</w:t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suppressAutoHyphens w:val="false"/>
              <w:snapToGrid w:val="false"/>
              <w:spacing w:lineRule="auto" w:line="240" w:before="0" w:after="0"/>
              <w:ind w:left="720" w:right="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Новая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Грунт</w:t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suppressAutoHyphens w:val="false"/>
              <w:snapToGrid w:val="false"/>
              <w:spacing w:lineRule="auto" w:line="240" w:before="0" w:after="0"/>
              <w:ind w:left="720" w:right="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Грунт</w:t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suppressAutoHyphens w:val="false"/>
              <w:snapToGrid w:val="false"/>
              <w:spacing w:lineRule="auto" w:line="240" w:before="0" w:after="0"/>
              <w:ind w:left="720" w:right="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Акбауова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Грунт</w:t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suppressAutoHyphens w:val="false"/>
              <w:snapToGrid w:val="false"/>
              <w:spacing w:lineRule="auto" w:line="240" w:before="0" w:after="0"/>
              <w:ind w:left="720" w:right="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Грунт</w:t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suppressAutoHyphens w:val="false"/>
              <w:snapToGrid w:val="false"/>
              <w:spacing w:lineRule="auto" w:line="240" w:before="0" w:after="0"/>
              <w:ind w:left="720" w:right="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Разведская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Грунт</w:t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suppressAutoHyphens w:val="false"/>
              <w:snapToGrid w:val="false"/>
              <w:spacing w:lineRule="auto" w:line="240" w:before="0" w:after="0"/>
              <w:ind w:left="720" w:right="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Первомайская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Грунт</w:t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suppressAutoHyphens w:val="false"/>
              <w:snapToGrid w:val="false"/>
              <w:spacing w:lineRule="auto" w:line="240" w:before="0" w:after="0"/>
              <w:ind w:left="720" w:right="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Кирова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Грунт</w:t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suppressAutoHyphens w:val="false"/>
              <w:snapToGrid w:val="false"/>
              <w:spacing w:lineRule="auto" w:line="240" w:before="0" w:after="0"/>
              <w:ind w:left="720" w:right="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Разведская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Грунт</w:t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suppressAutoHyphens w:val="false"/>
              <w:snapToGrid w:val="false"/>
              <w:spacing w:lineRule="auto" w:line="240" w:before="0" w:after="0"/>
              <w:ind w:left="720" w:right="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Строителей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Грунт</w:t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suppressAutoHyphens w:val="false"/>
              <w:snapToGrid w:val="false"/>
              <w:spacing w:lineRule="auto" w:line="240" w:before="0" w:after="0"/>
              <w:ind w:left="720" w:right="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Набережная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/>
            </w:pPr>
            <w:r>
              <w:rPr/>
              <w:t>595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Грунт</w:t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suppressAutoHyphens w:val="false"/>
              <w:snapToGrid w:val="false"/>
              <w:spacing w:lineRule="auto" w:line="240" w:before="0" w:after="0"/>
              <w:ind w:left="720" w:right="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Полевая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Асфальтобетон</w:t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suppressAutoHyphens w:val="false"/>
              <w:snapToGrid w:val="false"/>
              <w:spacing w:lineRule="auto" w:line="240" w:before="0" w:after="0"/>
              <w:ind w:left="720" w:right="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Специалистов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Асфальтобетон</w:t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suppressAutoHyphens w:val="false"/>
              <w:snapToGrid w:val="false"/>
              <w:spacing w:lineRule="auto" w:line="240" w:before="0" w:after="0"/>
              <w:ind w:left="720" w:right="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Железнодорожная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Грунт</w:t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suppressAutoHyphens w:val="false"/>
              <w:snapToGrid w:val="false"/>
              <w:spacing w:lineRule="auto" w:line="240" w:before="0" w:after="0"/>
              <w:ind w:left="720" w:right="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Больничная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Грунт</w:t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suppressAutoHyphens w:val="false"/>
              <w:snapToGrid w:val="false"/>
              <w:spacing w:lineRule="auto" w:line="240" w:before="0" w:after="0"/>
              <w:ind w:left="720" w:right="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п. Корсунский ул. Новая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Грунт</w:t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suppressAutoHyphens w:val="false"/>
              <w:snapToGrid w:val="false"/>
              <w:spacing w:lineRule="auto" w:line="240" w:before="0" w:after="0"/>
              <w:ind w:left="720" w:right="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с. Истемис ул. Новая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Грунт</w:t>
            </w:r>
          </w:p>
        </w:tc>
      </w:tr>
      <w:tr>
        <w:trPr/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suppressAutoHyphens w:val="false"/>
              <w:snapToGrid w:val="false"/>
              <w:spacing w:lineRule="auto" w:line="240" w:before="0" w:after="0"/>
              <w:ind w:left="720" w:right="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с. Истемис ул. Набережная</w:t>
            </w: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/>
            </w:pPr>
            <w:r>
              <w:rPr/>
              <w:t>713</w:t>
            </w:r>
          </w:p>
        </w:tc>
        <w:tc>
          <w:tcPr>
            <w:tcW w:w="3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Грунт</w:t>
            </w:r>
          </w:p>
        </w:tc>
      </w:tr>
      <w:tr>
        <w:trPr/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suppressAutoHyphens w:val="false"/>
              <w:snapToGrid w:val="false"/>
              <w:spacing w:lineRule="auto" w:line="240" w:before="0" w:after="0"/>
              <w:ind w:left="720" w:right="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с. Истеимс ул. Советская</w:t>
            </w: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/>
            </w:pPr>
            <w:r>
              <w:rPr/>
              <w:t>406</w:t>
            </w:r>
          </w:p>
        </w:tc>
        <w:tc>
          <w:tcPr>
            <w:tcW w:w="3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Грунт</w:t>
            </w:r>
          </w:p>
        </w:tc>
      </w:tr>
      <w:tr>
        <w:trPr/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suppressAutoHyphens w:val="false"/>
              <w:snapToGrid w:val="false"/>
              <w:spacing w:lineRule="auto" w:line="240" w:before="0" w:after="0"/>
              <w:ind w:left="720" w:right="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п. Корсунский ул. Клубная</w:t>
            </w: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/>
            </w:pPr>
            <w:r>
              <w:rPr/>
              <w:t>424</w:t>
            </w:r>
          </w:p>
        </w:tc>
        <w:tc>
          <w:tcPr>
            <w:tcW w:w="3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Грунт</w:t>
            </w:r>
          </w:p>
        </w:tc>
      </w:tr>
      <w:tr>
        <w:trPr/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suppressAutoHyphens w:val="false"/>
              <w:snapToGrid w:val="false"/>
              <w:spacing w:lineRule="auto" w:line="240" w:before="0" w:after="0"/>
              <w:ind w:left="720" w:right="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п. Корсунский ул. Набережная</w:t>
            </w: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/>
            </w:pPr>
            <w:r>
              <w:rPr/>
              <w:t>347</w:t>
            </w:r>
          </w:p>
        </w:tc>
        <w:tc>
          <w:tcPr>
            <w:tcW w:w="3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Грунт</w:t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suppressAutoHyphens w:val="false"/>
              <w:snapToGrid w:val="false"/>
              <w:spacing w:lineRule="auto" w:line="240" w:before="0" w:after="0"/>
              <w:ind w:left="720" w:right="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Банный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Грунт</w:t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suppressAutoHyphens w:val="false"/>
              <w:snapToGrid w:val="false"/>
              <w:spacing w:lineRule="auto" w:line="240" w:before="0" w:after="0"/>
              <w:ind w:left="720" w:right="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п. Корсунский пер. Школьный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Грунт</w:t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suppressAutoHyphens w:val="false"/>
              <w:snapToGrid w:val="false"/>
              <w:spacing w:lineRule="auto" w:line="240" w:before="0" w:after="0"/>
              <w:ind w:left="720" w:right="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Кооперативный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Грунт</w:t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suppressAutoHyphens w:val="false"/>
              <w:snapToGrid w:val="false"/>
              <w:spacing w:lineRule="auto" w:line="240" w:before="0" w:after="0"/>
              <w:ind w:left="720" w:right="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Грунт</w:t>
            </w:r>
          </w:p>
        </w:tc>
      </w:tr>
      <w:tr>
        <w:trPr/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suppressAutoHyphens w:val="false"/>
              <w:snapToGrid w:val="false"/>
              <w:spacing w:lineRule="auto" w:line="240" w:before="0" w:after="0"/>
              <w:ind w:left="720" w:right="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Кирова</w:t>
            </w: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/>
            </w:pPr>
            <w:r>
              <w:rPr/>
              <w:t>142</w:t>
            </w:r>
          </w:p>
        </w:tc>
        <w:tc>
          <w:tcPr>
            <w:tcW w:w="3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Грунт</w:t>
            </w:r>
          </w:p>
        </w:tc>
      </w:tr>
      <w:tr>
        <w:trPr/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suppressAutoHyphens w:val="false"/>
              <w:snapToGrid w:val="false"/>
              <w:spacing w:lineRule="auto" w:line="240" w:before="0" w:after="0"/>
              <w:ind w:left="720" w:right="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Школьная</w:t>
            </w: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/>
            </w:pPr>
            <w:r>
              <w:rPr/>
              <w:t>504</w:t>
            </w:r>
          </w:p>
        </w:tc>
        <w:tc>
          <w:tcPr>
            <w:tcW w:w="3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Асфальтобетон</w:t>
            </w:r>
          </w:p>
        </w:tc>
      </w:tr>
    </w:tbl>
    <w:p>
      <w:pPr>
        <w:pStyle w:val="Normal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2.5. Анализ состава парка транспортных средств и уровня автомобилизации сельского поселения, обеспеченность парковками (парковочными местами).                                            </w:t>
      </w:r>
    </w:p>
    <w:p>
      <w:pPr>
        <w:pStyle w:val="Normal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Автомобильный парк сельского поселения преимущественно состоит из легковых автомобилей, принадлежащих частным лицам. Детальная информация видов транспорта отсутствует. За период 2014-2016 годы отмечается рост транспортных средств рост и уровня автомобилизации населения. Хранение транспортных средств осуществляется на придомовых территориях. Парковочные места имеются у всех объектов социальной инфраструктуры и у административных зданий хозяйствующих организаций.       </w:t>
      </w:r>
    </w:p>
    <w:p>
      <w:pPr>
        <w:pStyle w:val="Normal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                 </w:t>
      </w:r>
    </w:p>
    <w:p>
      <w:pPr>
        <w:pStyle w:val="Normal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ab/>
        <w:t xml:space="preserve">2.6. Характеристика работы транспортных средств общего пользования, включая анализ пассажиропотока.                                                                                                                                   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Передвижение по территории населенного пункта осуществляется с использованием личного транспорта, либо в пешем порядке. Информация об объемах пассажирских перевозок, необходимая для анализа пассажиропотока, отсутствует.                                  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2.7. Характеристика пешеходного и велосипедного передвижения.                                             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Для передвижения пешеходов предусмотрены тротуары в грунтовом исполнении.                                           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2.8. Характеристика движения грузовых транспортных средств.                                                 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Транспортных организаций, осуществляющих грузовые перевозки на территории сельского поселения, не имеется.                     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2.9. Анализ уровня безопасности дорожного движения.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Транспорт является источником опасности не только для пассажиров, но и для населения, проживающего в зонах транспортных автомагистралей, железнодорожных путей, поскольку по ним транспортируются легковоспламеняющиеся, химические, горючие, взрывоопасные и другие вещества. Аварии на автомобильном транспорте при перевозке опасных грузов с выбросом (выливом) опасных химических веществ, взрывом горючих жидкостей и сжиженных газов возможны в той части поселения, где проходит автомобильная дорога «</w:t>
      </w:r>
      <w:r>
        <w:rPr>
          <w:rFonts w:ascii="Times New Roman" w:hAnsi="Times New Roman"/>
          <w:b w:val="false"/>
          <w:bCs w:val="false"/>
          <w:sz w:val="28"/>
          <w:szCs w:val="28"/>
        </w:rPr>
        <w:t>Орск-Домбаровский-Светлый»</w:t>
      </w:r>
      <w:r>
        <w:rPr>
          <w:rFonts w:ascii="Times New Roman" w:hAnsi="Times New Roman"/>
          <w:b w:val="false"/>
          <w:bCs w:val="false"/>
          <w:sz w:val="28"/>
          <w:szCs w:val="28"/>
        </w:rPr>
        <w:t>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На территории   муниципального образования Ащебутакский сельсовет Домбаровского района Оренбургской области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проходит не электрифицированная железная дорога «Орск-Рудный Клад»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. 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неудовлетворительного качества дорожных покрытий.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Крупными авариями на автотранспорте могут быть дорожно-транспортные аварии с участием пассажирских автобусов с числом пострадавших и погибших от 10 до 100 человек.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Ситуация, связанная с аварийностью на транспорте, неизменно сохраняет актуальность в связи с несоответствием дорожно-транспортной инфраструктуры потребностям участников дорожного движения, их низкой дисциплиной, а также недостаточной эффективностью функционирования системы обеспечения безопасности дорожного движения. В настоящее время решение проблемы обеспечения безопасности дорожного движения является одной из важнейших задач. Для эффективного решения проблем, связанных с дорожно-транспортной аварийностью, непрерывно обеспечивать системный подход к реализации мероприятий по повышению безопасности дорожного движения.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2.10. Оценка уровня негативного воздействия транспортной инфраструктуры на окружающую среду, безопасность и здоровье человека.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Рассмотрим характерные факторы, неблагоприятно влияющие на окружающую среду и здоровье.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Загрязнение атмосферы. Выброс в воздух дыма и газообразных загрязняющих веществ (диоксин азота и серы, озон) приводят не только к загрязнению атмосферы, но и к вредным проявлениям для здоровья, особенно к р</w:t>
      </w:r>
      <w:r>
        <w:rPr>
          <w:rFonts w:ascii="Times New Roman" w:hAnsi="Times New Roman"/>
          <w:b w:val="false"/>
          <w:bCs w:val="false"/>
          <w:sz w:val="28"/>
          <w:szCs w:val="28"/>
        </w:rPr>
        <w:t>е</w:t>
      </w:r>
      <w:r>
        <w:rPr>
          <w:rFonts w:ascii="Times New Roman" w:hAnsi="Times New Roman"/>
          <w:b w:val="false"/>
          <w:bCs w:val="false"/>
          <w:sz w:val="28"/>
          <w:szCs w:val="28"/>
        </w:rPr>
        <w:t>спираторным аллергическим заболеваниям.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Воздействие шума. Приблизительно 30% населения России подвергается воздействию шума от автомобильного транспорта с уровнем выше 55дБ. Это приводит к росту сердечно-сосудистых и эндокринных заболеваний. Воздействие шума влияет на познавательные способности людей, вызывает раздражительность.  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Учитывая сложившуюся планировочную структуру сельского поселения и характер дорожно-транспортной сети, отсутствие дорог с интенсивным движением в районах жилой застройки, можно сделать вывод  о сравнительно благополучной экологической ситуации в части воздействия транспортной инфраструктуры на окружающую среду, безопасность и здоровье человека.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2.1</w:t>
      </w:r>
      <w:r>
        <w:rPr>
          <w:rFonts w:ascii="Times New Roman" w:hAnsi="Times New Roman"/>
          <w:b w:val="false"/>
          <w:bCs w:val="false"/>
          <w:sz w:val="28"/>
          <w:szCs w:val="28"/>
        </w:rPr>
        <w:t>1</w:t>
      </w:r>
      <w:r>
        <w:rPr>
          <w:rFonts w:ascii="Times New Roman" w:hAnsi="Times New Roman"/>
          <w:b w:val="false"/>
          <w:bCs w:val="false"/>
          <w:sz w:val="28"/>
          <w:szCs w:val="28"/>
        </w:rPr>
        <w:t>. Оценка нормативно-правовой базы, необходимой для функционирования и развития транспортной системы поселения.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Основными документами, определяющими порядок функционирования и развития транспортной инфраструктуры являются: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1. Градостроительный кодекс РФ от 29.12.2004г. №190-ФЗ (ред. от 30.12.2015г.);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2. Федеральный закон от 08.11.2007г. №257-ФЗ (ред. от 15.02.2016г.)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3. Федеральный закон от 10.12.1995г. №196-ФЗ (ред. от 28.11.2015г.) «О безопасности дорожного движения»;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4. Постановление Правительства РФ от 23.10.1993г. №1090 (ред. от 21.01.2016г.) «О правилах дорожного движения»;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5. Постановление Правительства РФ от 25.12.2015г. №1440 «Об утверждении требований к программам комплексного развития транспортной инфраструктуры поселений, городских округов»;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6. Генеральный план муниципального образования Ащебутакский сельсовет Домбаровского района Оренбургской области, утвержден решением Совета депутатов муниципального образования Ащебутакский сельсовет Домбаровского района Оренбургской области   </w:t>
      </w:r>
      <w:r>
        <w:rPr>
          <w:rFonts w:ascii="Times New Roman" w:hAnsi="Times New Roman"/>
          <w:b w:val="false"/>
          <w:bCs w:val="false"/>
          <w:sz w:val="28"/>
          <w:szCs w:val="28"/>
        </w:rPr>
        <w:t>от 12 декабря 2013 года № 25-2</w:t>
      </w:r>
      <w:r>
        <w:rPr>
          <w:rFonts w:ascii="Times New Roman" w:hAnsi="Times New Roman"/>
          <w:b w:val="false"/>
          <w:bCs w:val="false"/>
          <w:sz w:val="28"/>
          <w:szCs w:val="28"/>
        </w:rPr>
        <w:t>;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3. Прогноз транспортного спроса, изменение объемов и характера передвижения населения и перевозок грузов на территории поселения.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3.1. Прогноз социально-экономического и градостроительного развития поселения.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Из большого числа нормативных критериев (обеспеченность школами, детскими дошкольными учреждениями, объектами соцкультбыта, инженерными сетями, дорогами и др.) наиболее приоритетным является обеспеченность жителей жильём, состояние дорог, газификация населенного пункта.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3.2.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</w:rPr>
        <w:t>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3.3. Прогноз развития транспортной инфраструктуры по видам транспорта.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В период реализации Программы транспортная инфраструктура по видам транспорта не претерпит существенных изменений. Основным видом транспорта остается автомобильный. Транспортная связь с районным, областным центром и населенными пунктами будет осуществляться общественным транспортом (автобусное сообщение), внутри населенного пункта личным транспортом и пешеходное сообщение.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3.4. Прогноз развития дорожной сети поселения.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Основными направлениями развития 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ремонта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3.5. Прогноз уровня автомобилизации, параметров дорожного движения.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>
      <w:pPr>
        <w:pStyle w:val="Normal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3.6. Прогноз показателей безопасности дорожного движения.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Факторами, влияющими на снижение аварийности станут обеспечение контроля за выполнением мероприятий по обеспечению безопасности дорожного движения, развитие систем видеофиксации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3.7. Прогноз негативного воздействия транспортной инфраструктуры на окружающую среду и здоровье человека.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 загрязнение атмосферы выбросами в воздух дыма и газообразных загрязняющих веществ и увеличением воздействия шума на здоровье человека.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4. Принципиальные варианты развития транспортной инфраструктуры и их укрупненную оценку по целевым показателям (индикаторам) развития транспортной инфраструктуры с последующим выбором предлагаемого к реализации варианта.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ремонту,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 Поэтому в Программе выбирается вариант качественного содержания и капитального ремонта дорог.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5. Перечень мероприятий (инвестиционных проектов) 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по проектированию, строительству, реконструкции объектов транспортной инфраструктуры.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5.1. С учетом сложившейся экономической ситуацией, мероприятия по развитию транспортной инфраструктуры по видам транспорта, по развитию транспорта общего пользования, созданию транспортно-пересадочных узлов, по развитию инфраструктуры для легкового автомобильного транспорта, включая развитие единого парковочного пространства, по развитию пешеходного и велосипедного передвижения, по развитию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5.2 Мероприятия по развитию сети дорог поселения.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В целях  повышения качественного уровня дорожной сети сельского поселения, снижения уровня аварийности, связанной с состоянием дорожного покрытия и доступности к центрам тяготения и территориям перспективной застройки предлагается в период действия Программы реализовать следующий комплекс мероприятий по развитию дорог поселения:</w:t>
      </w:r>
    </w:p>
    <w:p>
      <w:pPr>
        <w:pStyle w:val="Normal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ПЕРЕЧЕНЬ</w:t>
      </w:r>
    </w:p>
    <w:p>
      <w:pPr>
        <w:pStyle w:val="Normal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программных мероприятий Программы комплексного развития системы транспортной инфраструктуры на территории муниципального образования Ащебутакский сельсовет Домбаровского района Оренбургской области  на 2017 – 2025 годы</w:t>
      </w:r>
    </w:p>
    <w:p>
      <w:pPr>
        <w:pStyle w:val="Normal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tbl>
      <w:tblPr>
        <w:tblW w:w="10170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93"/>
        <w:gridCol w:w="3447"/>
        <w:gridCol w:w="1650"/>
        <w:gridCol w:w="1544"/>
        <w:gridCol w:w="2836"/>
      </w:tblGrid>
      <w:tr>
        <w:trPr>
          <w:trHeight w:val="23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Ответственный за реализацию мероприятия</w:t>
            </w:r>
          </w:p>
        </w:tc>
      </w:tr>
      <w:tr>
        <w:trPr>
          <w:trHeight w:val="23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tLeast" w:line="10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Разработка проектно-сметной документации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7-2025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определено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администрация  МО Ащебутакский сельсовет </w:t>
            </w:r>
          </w:p>
        </w:tc>
      </w:tr>
      <w:tr>
        <w:trPr>
          <w:trHeight w:val="23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tLeast" w:line="10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монт и капитальный ремонт автомобильных дорог общего пользования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-202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определено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администрация  МО Ащебутакский сельсовет </w:t>
            </w:r>
          </w:p>
        </w:tc>
      </w:tr>
    </w:tbl>
    <w:p>
      <w:pPr>
        <w:pStyle w:val="Normal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ru-RU" w:bidi="ar-SA" w:eastAsia="zh-CN"/>
    </w:rPr>
  </w:style>
  <w:style w:type="paragraph" w:styleId="Style19">
    <w:name w:val="Footer"/>
    <w:basedOn w:val="Normal"/>
    <w:pPr>
      <w:suppressLineNumbers/>
      <w:tabs>
        <w:tab w:val="center" w:pos="4677" w:leader="none"/>
        <w:tab w:val="right" w:pos="9355" w:leader="none"/>
      </w:tabs>
      <w:spacing w:lineRule="atLeast" w:line="100" w:before="0" w:after="0"/>
    </w:pPr>
    <w:rPr>
      <w:sz w:val="24"/>
      <w:szCs w:val="24"/>
    </w:rPr>
  </w:style>
  <w:style w:type="numbering" w:styleId="WW8Num14">
    <w:name w:val="WW8Num14"/>
    <w:qFormat/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LibreOffice/5.2.3.3$Windows_x86 LibreOffice_project/d54a8868f08a7b39642414cf2c8ef2f228f780cf</Application>
  <Pages>13</Pages>
  <Words>2611</Words>
  <Characters>20468</Characters>
  <CharactersWithSpaces>23965</CharactersWithSpaces>
  <Paragraphs>300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2017-06-21T10:27:50Z</dcterms:created>
  <dc:creator/>
  <dc:description/>
  <dc:language>ru-RU</dc:language>
  <cp:lastModifiedBy/>
  <cp:lastPrinted>2017-06-22T12:03:41Z</cp:lastPrinted>
  <dcterms:modified xsi:type="dcterms:W3CDTF">2017-06-22T12:11:18Z</dcterms:modified>
  <cp:revision>2</cp:revision>
  <dc:subject/>
  <dc:title/>
</cp:coreProperties>
</file>