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Style w:val="Style12"/>
          <w:color w:val="333333"/>
        </w:rPr>
        <w:t>Сведения</w:t>
      </w:r>
    </w:p>
    <w:p>
      <w:pPr>
        <w:pStyle w:val="Normal"/>
        <w:ind w:left="1418" w:right="0" w:hanging="0"/>
        <w:jc w:val="center"/>
        <w:rPr/>
      </w:pPr>
      <w:r>
        <w:rPr>
          <w:rStyle w:val="Style12"/>
          <w:color w:val="333333"/>
        </w:rPr>
        <w:t xml:space="preserve">о доходах, расходах, об имуществе и обязательствах имущественного характера  депутата Совета депутатов муниципального образования Ащебутакский сельсовет </w:t>
      </w:r>
      <w:r>
        <w:rPr>
          <w:rStyle w:val="Style12"/>
          <w:color w:val="333333"/>
        </w:rPr>
        <w:t>Избастина Кадиржана Алиевича</w:t>
      </w:r>
      <w:r>
        <w:rPr>
          <w:rStyle w:val="Style12"/>
          <w:color w:val="333333"/>
        </w:rPr>
        <w:t xml:space="preserve"> и членов его семьи</w:t>
      </w:r>
    </w:p>
    <w:p>
      <w:pPr>
        <w:pStyle w:val="Normal"/>
        <w:tabs>
          <w:tab w:val="left" w:pos="13365" w:leader="none"/>
        </w:tabs>
        <w:rPr/>
      </w:pPr>
      <w:r>
        <w:rPr/>
        <w:tab/>
      </w:r>
    </w:p>
    <w:tbl>
      <w:tblPr>
        <w:tblW w:w="15745" w:type="dxa"/>
        <w:jc w:val="left"/>
        <w:tblInd w:w="-12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425"/>
        <w:gridCol w:w="1206"/>
        <w:gridCol w:w="1203"/>
        <w:gridCol w:w="1418"/>
        <w:gridCol w:w="1243"/>
        <w:gridCol w:w="1026"/>
        <w:gridCol w:w="989"/>
        <w:gridCol w:w="1"/>
        <w:gridCol w:w="1277"/>
        <w:gridCol w:w="852"/>
        <w:gridCol w:w="991"/>
        <w:gridCol w:w="3"/>
        <w:gridCol w:w="1557"/>
        <w:gridCol w:w="1"/>
        <w:gridCol w:w="1347"/>
        <w:gridCol w:w="1"/>
        <w:gridCol w:w="2204"/>
      </w:tblGrid>
      <w:tr>
        <w:trPr>
          <w:cantSplit w:val="true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Деклариро-ванный годовой доход</w:t>
            </w:r>
            <w:r>
              <w:rPr>
                <w:rStyle w:val="Style14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20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Style14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>
        <w:trPr>
          <w:cantSplit w:val="true"/>
        </w:trPr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площадь (кв.м)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56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6" w:hRule="atLeast"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Style21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Избастин Кадиржан Алиевич 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–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lang w:val="ru-RU"/>
              </w:rPr>
              <w:t>Земельный участок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Долевая 1/198</w:t>
            </w:r>
          </w:p>
        </w:tc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49698000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84,0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ВАЗ 21065 1998 г.</w:t>
            </w:r>
          </w:p>
          <w:p>
            <w:pPr>
              <w:pStyle w:val="Normal"/>
              <w:jc w:val="center"/>
              <w:rPr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ВАЗ 21150 2006г.</w:t>
            </w:r>
          </w:p>
          <w:p>
            <w:pPr>
              <w:pStyle w:val="Normal"/>
              <w:jc w:val="center"/>
              <w:rPr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трактор Т-25 1972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163325,69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Style21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жена  Избастина Лидия Георгиевна 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lang w:val="ru-RU"/>
              </w:rPr>
              <w:t>Земельный участок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Долевая 1/198</w:t>
            </w:r>
          </w:p>
        </w:tc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49698000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84,0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--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  <w:t>76200,00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</w:tbl>
    <w:p>
      <w:pPr>
        <w:pStyle w:val="Style20"/>
        <w:ind w:left="0" w:right="0" w:firstLine="709"/>
        <w:jc w:val="both"/>
        <w:rPr/>
      </w:pPr>
      <w:r>
        <w:rPr/>
      </w:r>
    </w:p>
    <w:p>
      <w:pPr>
        <w:pStyle w:val="Style20"/>
        <w:ind w:left="0" w:right="0" w:firstLine="709"/>
        <w:jc w:val="both"/>
        <w:rPr/>
      </w:pP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Style20"/>
        <w:ind w:left="0" w:right="0" w:firstLine="709"/>
        <w:jc w:val="both"/>
        <w:rPr/>
      </w:pPr>
      <w:r>
        <w:rPr>
          <w:rStyle w:val="Style14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>
      <w:type w:val="nextPage"/>
      <w:pgSz w:orient="landscape" w:w="16838" w:h="11906"/>
      <w:pgMar w:left="1134" w:right="1134" w:header="0" w:top="284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Style15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5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5"/>
    <w:p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Основной шрифт абзаца"/>
    <w:qFormat/>
    <w:rPr/>
  </w:style>
  <w:style w:type="character" w:styleId="Style12">
    <w:name w:val="Выделение жирным"/>
    <w:basedOn w:val="Style11"/>
    <w:rPr>
      <w:b/>
      <w:bCs/>
    </w:rPr>
  </w:style>
  <w:style w:type="character" w:styleId="Style13">
    <w:name w:val="Текст сноски Знак"/>
    <w:basedOn w:val="Style11"/>
    <w:qFormat/>
    <w:rPr>
      <w:rFonts w:ascii="Times New Roman" w:hAnsi="Times New Roman" w:eastAsia="Times New Roman" w:cs="Times New Roman"/>
      <w:spacing w:val="0"/>
      <w:sz w:val="20"/>
      <w:szCs w:val="20"/>
    </w:rPr>
  </w:style>
  <w:style w:type="character" w:styleId="Style14">
    <w:name w:val="Символ сноски"/>
    <w:basedOn w:val="Style11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ascii="Times New Roman" w:hAnsi="Times New Roman"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Сноска"/>
    <w:basedOn w:val="Normal"/>
    <w:pPr/>
    <w:rPr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24">
    <w:name w:val="Заглавие"/>
    <w:basedOn w:val="Style15"/>
    <w:pPr>
      <w:jc w:val="center"/>
    </w:pPr>
    <w:rPr>
      <w:b/>
      <w:bCs/>
      <w:sz w:val="56"/>
      <w:szCs w:val="56"/>
    </w:rPr>
  </w:style>
  <w:style w:type="paragraph" w:styleId="Style25">
    <w:name w:val="Подзаголовок"/>
    <w:basedOn w:val="Style15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LibreOffice/4.4.6.3$Windows_x86 LibreOffice_project/e8938fd3328e95dcf59dd64e7facd2c7d67c704d</Application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2016-04-29T11:34:27Z</dcterms:created>
  <dc:language>ru-RU</dc:language>
  <cp:lastPrinted>2016-04-29T15:09:02Z</cp:lastPrinted>
  <dcterms:modified xsi:type="dcterms:W3CDTF">2016-04-29T15:25:27Z</dcterms:modified>
  <cp:revision>5</cp:revision>
</cp:coreProperties>
</file>