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/>
      </w:pPr>
      <w:r>
        <w:rPr>
          <w:rStyle w:val="Strong"/>
          <w:rFonts w:cs="Times New Roman"/>
          <w:color w:val="333333"/>
          <w:sz w:val="28"/>
          <w:szCs w:val="28"/>
        </w:rPr>
        <w:t>Сведения</w:t>
      </w:r>
    </w:p>
    <w:p>
      <w:pPr>
        <w:pStyle w:val="NoSpacing"/>
        <w:jc w:val="center"/>
        <w:rPr/>
      </w:pPr>
      <w:r>
        <w:rPr>
          <w:rStyle w:val="Strong"/>
          <w:rFonts w:cs="Times New Roman"/>
          <w:color w:val="333333"/>
          <w:sz w:val="28"/>
          <w:szCs w:val="28"/>
        </w:rPr>
        <w:t>о доходах, расходах, об имуществе и обязательствах имущественного характера муниципальных служащих</w:t>
      </w:r>
    </w:p>
    <w:p>
      <w:pPr>
        <w:pStyle w:val="NoSpacing"/>
        <w:jc w:val="center"/>
        <w:rPr/>
      </w:pPr>
      <w:r>
        <w:rPr>
          <w:rStyle w:val="Strong"/>
          <w:rFonts w:cs="Times New Roman"/>
          <w:color w:val="333333"/>
          <w:sz w:val="28"/>
          <w:szCs w:val="28"/>
        </w:rPr>
        <w:t>МО Ащебутакский сельсовет Домбаровского района Оренбургской области</w:t>
      </w:r>
    </w:p>
    <w:p>
      <w:pPr>
        <w:pStyle w:val="NoSpacing"/>
        <w:jc w:val="center"/>
        <w:rPr/>
      </w:pPr>
      <w:r>
        <w:rPr>
          <w:rStyle w:val="Strong"/>
          <w:rFonts w:cs="Times New Roman"/>
          <w:color w:val="333333"/>
          <w:sz w:val="28"/>
          <w:szCs w:val="28"/>
        </w:rPr>
        <w:t>за отчетный период с 1 января 2015 года по 31 декабря 2015 года</w:t>
      </w:r>
    </w:p>
    <w:p>
      <w:pPr>
        <w:pStyle w:val="Normal"/>
        <w:rPr/>
      </w:pPr>
      <w:r>
        <w:rPr/>
      </w:r>
    </w:p>
    <w:tbl>
      <w:tblPr>
        <w:tblW w:w="15736" w:type="dxa"/>
        <w:jc w:val="left"/>
        <w:tblInd w:w="-10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426"/>
        <w:gridCol w:w="1416"/>
        <w:gridCol w:w="992"/>
        <w:gridCol w:w="1417"/>
        <w:gridCol w:w="1417"/>
        <w:gridCol w:w="851"/>
        <w:gridCol w:w="993"/>
        <w:gridCol w:w="1276"/>
        <w:gridCol w:w="850"/>
        <w:gridCol w:w="993"/>
        <w:gridCol w:w="1559"/>
        <w:gridCol w:w="1276"/>
        <w:gridCol w:w="2269"/>
      </w:tblGrid>
      <w:tr>
        <w:trPr>
          <w:trHeight w:val="555" w:hRule="atLeast"/>
        </w:trPr>
        <w:tc>
          <w:tcPr>
            <w:tcW w:w="4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0" w:right="0" w:hanging="0"/>
              <w:jc w:val="center"/>
              <w:rPr/>
            </w:pPr>
            <w:r>
              <w:rPr>
                <w:rFonts w:cs="Verdana" w:ascii="Verdana" w:hAnsi="Verdana"/>
                <w:sz w:val="16"/>
                <w:szCs w:val="16"/>
              </w:rPr>
              <w:t>№</w:t>
            </w:r>
          </w:p>
          <w:p>
            <w:pPr>
              <w:pStyle w:val="Normal"/>
              <w:ind w:left="0" w:right="0" w:hanging="0"/>
              <w:jc w:val="center"/>
              <w:rPr/>
            </w:pPr>
            <w:r>
              <w:rPr>
                <w:rFonts w:cs="Verdana" w:ascii="Verdana" w:hAnsi="Verdana"/>
                <w:sz w:val="16"/>
                <w:szCs w:val="16"/>
              </w:rPr>
              <w:t>п/п</w:t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Verdana"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9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Verdana"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678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Verdana"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Verdana"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Verdana" w:ascii="Verdana" w:hAnsi="Verdana"/>
                <w:sz w:val="16"/>
                <w:szCs w:val="16"/>
              </w:rPr>
              <w:t>Транспортные средства</w:t>
            </w:r>
          </w:p>
          <w:p>
            <w:pPr>
              <w:pStyle w:val="Normal"/>
              <w:jc w:val="center"/>
              <w:rPr/>
            </w:pPr>
            <w:r>
              <w:rPr>
                <w:rFonts w:cs="Verdana"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Verdana" w:ascii="Verdana" w:hAnsi="Verdana"/>
                <w:sz w:val="16"/>
                <w:szCs w:val="16"/>
              </w:rPr>
              <w:t>Деклариро-ванный годовой доход</w:t>
            </w:r>
            <w:r>
              <w:rPr>
                <w:rStyle w:val="Footnotereference"/>
                <w:rFonts w:cs="Verdana" w:ascii="Verdana" w:hAnsi="Verdana"/>
                <w:sz w:val="16"/>
                <w:szCs w:val="16"/>
              </w:rPr>
              <w:t>1</w:t>
            </w:r>
            <w:r>
              <w:rPr/>
              <w:t xml:space="preserve"> </w:t>
            </w:r>
            <w:r>
              <w:rPr>
                <w:rFonts w:cs="Verdana" w:ascii="Verdana" w:hAnsi="Verdana"/>
                <w:sz w:val="16"/>
                <w:szCs w:val="16"/>
              </w:rPr>
              <w:t>(руб.)</w:t>
            </w:r>
          </w:p>
        </w:tc>
        <w:tc>
          <w:tcPr>
            <w:tcW w:w="22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Verdana"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Footnotereference"/>
                <w:rFonts w:cs="Verdana" w:ascii="Verdana" w:hAnsi="Verdana"/>
                <w:sz w:val="16"/>
                <w:szCs w:val="16"/>
              </w:rPr>
              <w:t>2</w:t>
            </w:r>
            <w:r>
              <w:rPr/>
              <w:t xml:space="preserve"> </w:t>
            </w:r>
            <w:r>
              <w:rPr>
                <w:rFonts w:cs="Verdana"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>
        <w:trPr>
          <w:trHeight w:val="748" w:hRule="atLeast"/>
        </w:trPr>
        <w:tc>
          <w:tcPr>
            <w:tcW w:w="42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0" w:right="0" w:hanging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cs="Verdana" w:ascii="Verdana" w:hAnsi="Verdana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cs="Verdana" w:ascii="Verdana" w:hAnsi="Verdana"/>
                <w:sz w:val="16"/>
                <w:szCs w:val="16"/>
              </w:rPr>
            </w:r>
          </w:p>
        </w:tc>
        <w:tc>
          <w:tcPr>
            <w:tcW w:w="99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cs="Verdana" w:ascii="Verdana" w:hAnsi="Verdana"/>
                <w:sz w:val="16"/>
                <w:szCs w:val="16"/>
              </w:rPr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Verdana"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Verdana" w:ascii="Verdana" w:hAnsi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Verdana"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Verdana"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Verdana"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Verdana"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Verdana"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cs="Verdana" w:ascii="Verdana" w:hAnsi="Verdana"/>
                <w:sz w:val="16"/>
                <w:szCs w:val="16"/>
              </w:rPr>
            </w:r>
          </w:p>
        </w:tc>
        <w:tc>
          <w:tcPr>
            <w:tcW w:w="127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cs="Verdana" w:ascii="Verdana" w:hAnsi="Verdana"/>
                <w:sz w:val="16"/>
                <w:szCs w:val="16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cs="Verdana" w:ascii="Verdana" w:hAnsi="Verdana"/>
                <w:sz w:val="16"/>
                <w:szCs w:val="16"/>
              </w:rPr>
            </w:r>
          </w:p>
        </w:tc>
      </w:tr>
      <w:tr>
        <w:trPr>
          <w:trHeight w:val="723" w:hRule="atLeast"/>
        </w:trPr>
        <w:tc>
          <w:tcPr>
            <w:tcW w:w="4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0" w:right="0" w:hanging="0"/>
              <w:jc w:val="center"/>
              <w:rPr/>
            </w:pPr>
            <w:r>
              <w:rPr>
                <w:rFonts w:cs="Verdana" w:ascii="Verdana" w:hAnsi="Verdana"/>
                <w:sz w:val="16"/>
                <w:szCs w:val="16"/>
              </w:rPr>
              <w:t>1.</w:t>
            </w:r>
          </w:p>
        </w:tc>
        <w:tc>
          <w:tcPr>
            <w:tcW w:w="14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/>
            </w:pPr>
            <w:r>
              <w:rPr>
                <w:rFonts w:cs="Verdana" w:ascii="Verdana" w:hAnsi="Verdana"/>
                <w:sz w:val="16"/>
                <w:szCs w:val="16"/>
              </w:rPr>
              <w:t>Кибатаев К.М.</w:t>
            </w:r>
          </w:p>
        </w:tc>
        <w:tc>
          <w:tcPr>
            <w:tcW w:w="9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/>
            </w:pPr>
            <w:r>
              <w:rPr>
                <w:rFonts w:cs="Verdana" w:ascii="Verdana" w:hAnsi="Verdana"/>
                <w:sz w:val="16"/>
                <w:szCs w:val="16"/>
              </w:rPr>
              <w:t xml:space="preserve">  </w:t>
            </w:r>
            <w:r>
              <w:rPr>
                <w:rFonts w:cs="Verdana" w:ascii="Verdana" w:hAnsi="Verdana"/>
                <w:sz w:val="16"/>
                <w:szCs w:val="16"/>
              </w:rPr>
              <w:t>глава сельсовета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>индивиду-</w:t>
            </w:r>
          </w:p>
          <w:p>
            <w:pPr>
              <w:pStyle w:val="Normal"/>
              <w:jc w:val="center"/>
              <w:rPr/>
            </w:pP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>альная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 xml:space="preserve">46,7 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Verdana"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Verdana" w:ascii="Verdana" w:hAnsi="Verdana"/>
                <w:sz w:val="16"/>
                <w:szCs w:val="16"/>
              </w:rPr>
              <w:t>119,4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Verdana"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Verdana" w:ascii="Verdana" w:hAnsi="Verdana"/>
                <w:sz w:val="16"/>
                <w:szCs w:val="16"/>
              </w:rPr>
              <w:t xml:space="preserve">а\м УАЗ </w:t>
            </w:r>
          </w:p>
        </w:tc>
        <w:tc>
          <w:tcPr>
            <w:tcW w:w="127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>
                <w:rFonts w:cs="Verdana" w:ascii="Verdana" w:hAnsi="Verdana"/>
                <w:sz w:val="16"/>
                <w:szCs w:val="16"/>
              </w:rPr>
              <w:t>507721,12</w:t>
            </w:r>
          </w:p>
        </w:tc>
        <w:tc>
          <w:tcPr>
            <w:tcW w:w="226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 xml:space="preserve"> </w:t>
            </w: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>---</w:t>
            </w:r>
          </w:p>
        </w:tc>
      </w:tr>
      <w:tr>
        <w:trPr>
          <w:trHeight w:val="735" w:hRule="atLeast"/>
        </w:trPr>
        <w:tc>
          <w:tcPr>
            <w:tcW w:w="42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0" w:right="0" w:hanging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cs="Verdana" w:ascii="Verdana" w:hAnsi="Verdana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cs="Verdana" w:ascii="Verdana" w:hAnsi="Verdana"/>
                <w:sz w:val="16"/>
                <w:szCs w:val="16"/>
              </w:rPr>
            </w:r>
          </w:p>
        </w:tc>
        <w:tc>
          <w:tcPr>
            <w:tcW w:w="99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cs="Verdana" w:ascii="Verdana" w:hAnsi="Verdana"/>
                <w:sz w:val="16"/>
                <w:szCs w:val="16"/>
              </w:rPr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>индивиду-</w:t>
            </w:r>
          </w:p>
          <w:p>
            <w:pPr>
              <w:pStyle w:val="Normal"/>
              <w:jc w:val="center"/>
              <w:rPr/>
            </w:pP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>альная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 xml:space="preserve"> </w:t>
            </w: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>61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cs="Verdana" w:ascii="Verdana" w:hAnsi="Verdana"/>
                <w:sz w:val="16"/>
                <w:szCs w:val="16"/>
              </w:rPr>
              <w:t>---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cs="Verdana" w:ascii="Verdana" w:hAnsi="Verdana"/>
                <w:sz w:val="16"/>
                <w:szCs w:val="16"/>
              </w:rPr>
              <w:t>---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cs="Verdana" w:ascii="Verdana" w:hAnsi="Verdana"/>
                <w:sz w:val="16"/>
                <w:szCs w:val="16"/>
              </w:rPr>
              <w:t>---</w:t>
            </w:r>
          </w:p>
        </w:tc>
        <w:tc>
          <w:tcPr>
            <w:tcW w:w="155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cs="Verdana" w:ascii="Verdana" w:hAnsi="Verdana"/>
                <w:sz w:val="16"/>
                <w:szCs w:val="16"/>
              </w:rPr>
            </w:r>
          </w:p>
        </w:tc>
        <w:tc>
          <w:tcPr>
            <w:tcW w:w="127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cs="Verdana" w:ascii="Verdana" w:hAnsi="Verdana"/>
                <w:sz w:val="16"/>
                <w:szCs w:val="16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Style w:val="Strong"/>
                <w:rFonts w:ascii="Verdana" w:hAnsi="Verdana" w:cs="Verdana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Verdana" w:ascii="Verdana" w:hAnsi="Verdana"/>
                <w:b w:val="false"/>
                <w:bCs w:val="false"/>
                <w:sz w:val="16"/>
                <w:szCs w:val="16"/>
              </w:rPr>
            </w:r>
          </w:p>
        </w:tc>
      </w:tr>
      <w:tr>
        <w:trPr>
          <w:trHeight w:val="735" w:hRule="atLeast"/>
        </w:trPr>
        <w:tc>
          <w:tcPr>
            <w:tcW w:w="42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0" w:right="0" w:hanging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cs="Verdana" w:ascii="Verdana" w:hAnsi="Verdana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cs="Verdana" w:ascii="Verdana" w:hAnsi="Verdana"/>
                <w:sz w:val="16"/>
                <w:szCs w:val="16"/>
              </w:rPr>
            </w:r>
          </w:p>
        </w:tc>
        <w:tc>
          <w:tcPr>
            <w:tcW w:w="99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cs="Verdana" w:ascii="Verdana" w:hAnsi="Verdana"/>
                <w:sz w:val="16"/>
                <w:szCs w:val="16"/>
              </w:rPr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>
                <w:rStyle w:val="Strong"/>
                <w:rFonts w:cs="Verdana" w:ascii="Verdana" w:hAnsi="Verdana"/>
                <w:b w:val="false"/>
                <w:bCs w:val="false"/>
                <w:sz w:val="16"/>
                <w:szCs w:val="16"/>
              </w:rPr>
              <w:t>Нежилое помещение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>индивиду-</w:t>
            </w:r>
          </w:p>
          <w:p>
            <w:pPr>
              <w:pStyle w:val="Normal"/>
              <w:jc w:val="center"/>
              <w:rPr/>
            </w:pP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>альная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>
                <w:rStyle w:val="Strong"/>
                <w:rFonts w:cs="Verdana" w:ascii="Verdana" w:hAnsi="Verdana"/>
                <w:b w:val="false"/>
                <w:bCs w:val="false"/>
                <w:sz w:val="16"/>
                <w:szCs w:val="16"/>
              </w:rPr>
              <w:t>10</w:t>
            </w:r>
            <w:r>
              <w:rPr>
                <w:rStyle w:val="Strong"/>
                <w:rFonts w:cs="Verdana" w:ascii="Verdana" w:hAnsi="Verdana"/>
                <w:b w:val="false"/>
                <w:bCs w:val="false"/>
                <w:sz w:val="16"/>
                <w:szCs w:val="16"/>
                <w:lang w:val="en-US"/>
              </w:rPr>
              <w:t>6</w:t>
            </w:r>
            <w:r>
              <w:rPr>
                <w:rStyle w:val="Strong"/>
                <w:rFonts w:cs="Verdana" w:ascii="Verdana" w:hAnsi="Verdana"/>
                <w:b w:val="false"/>
                <w:bCs w:val="false"/>
                <w:sz w:val="16"/>
                <w:szCs w:val="16"/>
              </w:rPr>
              <w:t>,</w:t>
            </w:r>
            <w:r>
              <w:rPr>
                <w:rStyle w:val="Strong"/>
                <w:rFonts w:cs="Verdana" w:ascii="Verdana" w:hAnsi="Verdana"/>
                <w:b w:val="false"/>
                <w:bCs w:val="false"/>
                <w:sz w:val="16"/>
                <w:szCs w:val="16"/>
                <w:lang w:val="en-US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cs="Verdana" w:ascii="Verdana" w:hAnsi="Verdana"/>
                <w:sz w:val="16"/>
                <w:szCs w:val="16"/>
              </w:rPr>
              <w:t>---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cs="Verdana" w:ascii="Verdana" w:hAnsi="Verdana"/>
                <w:sz w:val="16"/>
                <w:szCs w:val="16"/>
              </w:rPr>
              <w:t>---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cs="Verdana" w:ascii="Verdana" w:hAnsi="Verdana"/>
                <w:sz w:val="16"/>
                <w:szCs w:val="16"/>
              </w:rPr>
              <w:t>---</w:t>
            </w:r>
          </w:p>
        </w:tc>
        <w:tc>
          <w:tcPr>
            <w:tcW w:w="15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cs="Verdana" w:ascii="Verdana" w:hAnsi="Verdana"/>
                <w:sz w:val="16"/>
                <w:szCs w:val="16"/>
              </w:rPr>
              <w:t>---</w:t>
            </w:r>
          </w:p>
        </w:tc>
        <w:tc>
          <w:tcPr>
            <w:tcW w:w="127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cs="Verdana" w:ascii="Verdana" w:hAnsi="Verdana"/>
                <w:sz w:val="16"/>
                <w:szCs w:val="16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Style w:val="Strong"/>
                <w:rFonts w:ascii="Verdana" w:hAnsi="Verdana" w:cs="Verdana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Verdana" w:ascii="Verdana" w:hAnsi="Verdana"/>
                <w:b w:val="false"/>
                <w:bCs w:val="false"/>
                <w:sz w:val="16"/>
                <w:szCs w:val="16"/>
              </w:rPr>
            </w:r>
          </w:p>
        </w:tc>
      </w:tr>
      <w:tr>
        <w:trPr>
          <w:trHeight w:val="735" w:hRule="atLeast"/>
        </w:trPr>
        <w:tc>
          <w:tcPr>
            <w:tcW w:w="42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ind w:left="0" w:right="0" w:hanging="0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cs="Verdana" w:ascii="Verdana" w:hAnsi="Verdana"/>
                <w:sz w:val="16"/>
                <w:szCs w:val="16"/>
              </w:rPr>
            </w:r>
          </w:p>
        </w:tc>
        <w:tc>
          <w:tcPr>
            <w:tcW w:w="141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cs="Verdana" w:ascii="Verdana" w:hAnsi="Verdana"/>
                <w:sz w:val="16"/>
                <w:szCs w:val="16"/>
              </w:rPr>
            </w:r>
          </w:p>
        </w:tc>
        <w:tc>
          <w:tcPr>
            <w:tcW w:w="992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both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cs="Verdana" w:ascii="Verdana" w:hAnsi="Verdana"/>
                <w:sz w:val="16"/>
                <w:szCs w:val="16"/>
              </w:rPr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>
                <w:rStyle w:val="Strong"/>
                <w:rFonts w:cs="Verdana" w:ascii="Verdana" w:hAnsi="Verdana"/>
                <w:b w:val="false"/>
                <w:bCs w:val="false"/>
                <w:sz w:val="16"/>
                <w:szCs w:val="16"/>
              </w:rPr>
              <w:t>Земельный пай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>индивиду-</w:t>
            </w:r>
          </w:p>
          <w:p>
            <w:pPr>
              <w:pStyle w:val="Normal"/>
              <w:jc w:val="center"/>
              <w:rPr/>
            </w:pP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>альная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  <w:vAlign w:val="center"/>
          </w:tcPr>
          <w:p>
            <w:pPr>
              <w:pStyle w:val="Normal"/>
              <w:jc w:val="center"/>
              <w:rPr/>
            </w:pPr>
            <w:r>
              <w:rPr>
                <w:rStyle w:val="Strong"/>
                <w:rFonts w:cs="Verdana" w:ascii="Verdana" w:hAnsi="Verdana"/>
                <w:b w:val="false"/>
                <w:bCs w:val="false"/>
                <w:sz w:val="16"/>
                <w:szCs w:val="16"/>
              </w:rPr>
              <w:t>1005000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/>
            </w:pPr>
            <w:r>
              <w:rPr>
                <w:rStyle w:val="Strong"/>
                <w:rFonts w:cs="Verdana" w:ascii="Verdana" w:hAnsi="Verdana"/>
                <w:b w:val="false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cs="Verdana" w:ascii="Verdana" w:hAnsi="Verdana"/>
                <w:sz w:val="16"/>
                <w:szCs w:val="16"/>
              </w:rPr>
              <w:t>---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cs="Verdana" w:ascii="Verdana" w:hAnsi="Verdana"/>
                <w:sz w:val="16"/>
                <w:szCs w:val="16"/>
              </w:rPr>
              <w:t>---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cs="Verdana" w:ascii="Verdana" w:hAnsi="Verdana"/>
                <w:sz w:val="16"/>
                <w:szCs w:val="16"/>
              </w:rPr>
              <w:t>---</w:t>
            </w:r>
          </w:p>
        </w:tc>
        <w:tc>
          <w:tcPr>
            <w:tcW w:w="155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cs="Verdana" w:ascii="Verdana" w:hAnsi="Verdana"/>
                <w:sz w:val="16"/>
                <w:szCs w:val="16"/>
              </w:rPr>
            </w:r>
          </w:p>
        </w:tc>
        <w:tc>
          <w:tcPr>
            <w:tcW w:w="1276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Fonts w:ascii="Verdana" w:hAnsi="Verdana" w:cs="Verdana"/>
                <w:sz w:val="16"/>
                <w:szCs w:val="16"/>
              </w:rPr>
            </w:pPr>
            <w:r>
              <w:rPr>
                <w:rFonts w:cs="Verdana" w:ascii="Verdana" w:hAnsi="Verdana"/>
                <w:sz w:val="16"/>
                <w:szCs w:val="16"/>
              </w:rPr>
            </w:r>
          </w:p>
        </w:tc>
        <w:tc>
          <w:tcPr>
            <w:tcW w:w="226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108" w:type="dxa"/>
            </w:tcMar>
          </w:tcPr>
          <w:p>
            <w:pPr>
              <w:pStyle w:val="Normal"/>
              <w:jc w:val="center"/>
              <w:rPr>
                <w:rStyle w:val="Strong"/>
                <w:rFonts w:ascii="Verdana" w:hAnsi="Verdana" w:cs="Verdana"/>
                <w:b w:val="false"/>
                <w:b w:val="false"/>
                <w:bCs w:val="false"/>
                <w:sz w:val="16"/>
                <w:szCs w:val="16"/>
              </w:rPr>
            </w:pPr>
            <w:r>
              <w:rPr>
                <w:rFonts w:cs="Verdana" w:ascii="Verdana" w:hAnsi="Verdana"/>
                <w:b w:val="false"/>
                <w:bCs w:val="false"/>
                <w:sz w:val="16"/>
                <w:szCs w:val="16"/>
              </w:rPr>
            </w:r>
          </w:p>
        </w:tc>
      </w:tr>
    </w:tbl>
    <w:p>
      <w:pPr>
        <w:pStyle w:val="Footnotetext"/>
        <w:jc w:val="both"/>
        <w:rPr/>
      </w:pPr>
      <w:r>
        <w:rPr>
          <w:rFonts w:eastAsia="" w:cs="" w:ascii="Calibri" w:hAnsi="Calibri" w:asciiTheme="minorHAnsi" w:cstheme="minorBidi" w:eastAsiaTheme="minorEastAsia" w:hAnsiTheme="minorHAnsi"/>
          <w:sz w:val="22"/>
          <w:szCs w:val="22"/>
        </w:rPr>
        <w:t xml:space="preserve">              </w:t>
      </w:r>
      <w:r>
        <w:rPr>
          <w:rStyle w:val="Footnotereference"/>
        </w:rPr>
      </w:r>
      <w:r>
        <w:rPr/>
        <w:t xml:space="preserve"> </w:t>
      </w:r>
      <w:r>
        <w:rPr/>
        <w:t>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>
      <w:pPr>
        <w:pStyle w:val="Footnotetext"/>
        <w:ind w:firstLine="709"/>
        <w:jc w:val="both"/>
        <w:rPr/>
      </w:pPr>
      <w:r>
        <w:rPr>
          <w:rStyle w:val="Footnotereference"/>
        </w:rPr>
        <w:t>2</w:t>
      </w:r>
      <w:r>
        <w:rPr/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sectPr>
      <w:type w:val="nextPage"/>
      <w:pgSz w:orient="landscape" w:w="16838" w:h="11906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01"/>
    <w:family w:val="roman"/>
    <w:pitch w:val="default"/>
  </w:font>
  <w:font w:name="Verdana">
    <w:charset w:val="01"/>
    <w:family w:val="roman"/>
    <w:pitch w:val="default"/>
  </w:font>
  <w:font w:name="Calibri">
    <w:charset w:val="01"/>
    <w:family w:val="roman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8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rial Unicode MS" w:cs="Mangal"/>
        <w:sz w:val="28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suppressAutoHyphens w:val="true"/>
    </w:pPr>
    <w:rPr>
      <w:rFonts w:ascii="Times New Roman" w:hAnsi="Times New Roman" w:eastAsia="Arial Unicode MS" w:cs="Mangal"/>
      <w:color w:val="auto"/>
      <w:sz w:val="28"/>
      <w:szCs w:val="24"/>
      <w:lang w:val="ru-RU" w:eastAsia="zh-CN" w:bidi="hi-IN"/>
    </w:rPr>
  </w:style>
  <w:style w:type="paragraph" w:styleId="1">
    <w:name w:val="Заголовок 1"/>
    <w:basedOn w:val="Style11"/>
    <w:next w:val="Style12"/>
    <w:pPr>
      <w:numPr>
        <w:ilvl w:val="0"/>
        <w:numId w:val="1"/>
      </w:numPr>
      <w:spacing w:before="240" w:after="120"/>
      <w:outlineLvl w:val="0"/>
      <w:outlineLvl w:val="0"/>
    </w:pPr>
    <w:rPr>
      <w:b/>
      <w:bCs/>
      <w:sz w:val="36"/>
      <w:szCs w:val="36"/>
    </w:rPr>
  </w:style>
  <w:style w:type="paragraph" w:styleId="2">
    <w:name w:val="Заголовок 2"/>
    <w:basedOn w:val="Style11"/>
    <w:next w:val="Style12"/>
    <w:pPr>
      <w:numPr>
        <w:ilvl w:val="1"/>
        <w:numId w:val="1"/>
      </w:numPr>
      <w:spacing w:before="200" w:after="120"/>
      <w:outlineLvl w:val="1"/>
      <w:outlineLvl w:val="1"/>
    </w:pPr>
    <w:rPr>
      <w:b/>
      <w:bCs/>
      <w:sz w:val="32"/>
      <w:szCs w:val="32"/>
    </w:rPr>
  </w:style>
  <w:style w:type="paragraph" w:styleId="3">
    <w:name w:val="Заголовок 3"/>
    <w:basedOn w:val="Style11"/>
    <w:next w:val="Style12"/>
    <w:pPr>
      <w:numPr>
        <w:ilvl w:val="2"/>
        <w:numId w:val="1"/>
      </w:numPr>
      <w:spacing w:before="140" w:after="120"/>
      <w:outlineLvl w:val="2"/>
      <w:outlineLvl w:val="2"/>
    </w:pPr>
    <w:rPr>
      <w:b/>
      <w:bCs/>
      <w:sz w:val="28"/>
      <w:szCs w:val="28"/>
    </w:rPr>
  </w:style>
  <w:style w:type="character" w:styleId="DefaultParagraphFont">
    <w:name w:val="Default Paragraph Font"/>
    <w:qFormat/>
    <w:rPr/>
  </w:style>
  <w:style w:type="character" w:styleId="Footnotereference">
    <w:name w:val="footnote reference"/>
    <w:basedOn w:val="DefaultParagraphFont"/>
    <w:qFormat/>
    <w:rPr>
      <w:vertAlign w:val="superscript"/>
    </w:rPr>
  </w:style>
  <w:style w:type="character" w:styleId="Strong">
    <w:name w:val="Strong"/>
    <w:basedOn w:val="DefaultParagraphFont"/>
    <w:qFormat/>
    <w:rPr>
      <w:b/>
      <w:bCs/>
    </w:rPr>
  </w:style>
  <w:style w:type="paragraph" w:styleId="Style11">
    <w:name w:val="Заголовок"/>
    <w:basedOn w:val="Normal"/>
    <w:next w:val="Style12"/>
    <w:qFormat/>
    <w:pPr>
      <w:keepNext/>
      <w:spacing w:before="240" w:after="120"/>
    </w:pPr>
    <w:rPr>
      <w:rFonts w:ascii="Times New Roman" w:hAnsi="Times New Roman" w:eastAsia="Arial Unicode MS" w:cs="Mangal"/>
      <w:sz w:val="28"/>
      <w:szCs w:val="28"/>
    </w:rPr>
  </w:style>
  <w:style w:type="paragraph" w:styleId="Style12">
    <w:name w:val="Основной текст"/>
    <w:basedOn w:val="Normal"/>
    <w:pPr>
      <w:spacing w:lineRule="auto" w:line="288" w:before="0" w:after="140"/>
    </w:pPr>
    <w:rPr/>
  </w:style>
  <w:style w:type="paragraph" w:styleId="Style13">
    <w:name w:val="Список"/>
    <w:basedOn w:val="Style12"/>
    <w:pPr/>
    <w:rPr>
      <w:rFonts w:ascii="Times New Roman" w:hAnsi="Times New Roman" w:cs="Mangal"/>
    </w:rPr>
  </w:style>
  <w:style w:type="paragraph" w:styleId="Style14">
    <w:name w:val="Название"/>
    <w:basedOn w:val="Normal"/>
    <w:pPr>
      <w:suppressLineNumbers/>
      <w:spacing w:before="120" w:after="120"/>
    </w:pPr>
    <w:rPr>
      <w:rFonts w:ascii="Times New Roman" w:hAnsi="Times New Roman" w:cs="Mangal"/>
      <w:i/>
      <w:iCs/>
      <w:sz w:val="28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ascii="Times New Roman" w:hAnsi="Times New Roman" w:cs="Mangal"/>
    </w:rPr>
  </w:style>
  <w:style w:type="paragraph" w:styleId="Style16">
    <w:name w:val="Блочная цитата"/>
    <w:basedOn w:val="Normal"/>
    <w:qFormat/>
    <w:pPr>
      <w:spacing w:before="0" w:after="283"/>
      <w:ind w:left="567" w:right="567" w:hanging="0"/>
    </w:pPr>
    <w:rPr/>
  </w:style>
  <w:style w:type="paragraph" w:styleId="Style17">
    <w:name w:val="Заглавие"/>
    <w:basedOn w:val="Style11"/>
    <w:next w:val="Style12"/>
    <w:pPr>
      <w:jc w:val="center"/>
    </w:pPr>
    <w:rPr>
      <w:b/>
      <w:bCs/>
      <w:sz w:val="56"/>
      <w:szCs w:val="56"/>
    </w:rPr>
  </w:style>
  <w:style w:type="paragraph" w:styleId="Style18">
    <w:name w:val="Подзаголовок"/>
    <w:basedOn w:val="Style11"/>
    <w:next w:val="Style12"/>
    <w:pPr>
      <w:spacing w:before="60" w:after="120"/>
      <w:jc w:val="center"/>
    </w:pPr>
    <w:rPr>
      <w:sz w:val="36"/>
      <w:szCs w:val="36"/>
    </w:rPr>
  </w:style>
  <w:style w:type="paragraph" w:styleId="Footnotetext">
    <w:name w:val="footnote text"/>
    <w:basedOn w:val="Normal"/>
    <w:qFormat/>
    <w:pPr>
      <w:spacing w:lineRule="auto" w:line="240" w:before="0" w:after="0"/>
    </w:pPr>
    <w:rPr>
      <w:rFonts w:ascii="Times New Roman" w:hAnsi="Times New Roman" w:eastAsia="Times New Roman" w:cs="Times New Roman"/>
      <w:sz w:val="20"/>
      <w:szCs w:val="20"/>
    </w:rPr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eastAsia="" w:eastAsiaTheme="minorEastAsia" w:ascii="Times New Roman" w:hAnsi="Times New Roman" w:cs="Mangal"/>
      <w:color w:val="auto"/>
      <w:sz w:val="28"/>
      <w:szCs w:val="24"/>
      <w:lang w:eastAsia="ru-RU" w:val="ru-RU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LibreOffice/4.4.6.3$Windows_x86 LibreOffice_project/e8938fd3328e95dcf59dd64e7facd2c7d67c704d</Application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2016-04-29T08:44:13Z</dcterms:created>
  <dc:language>ru-RU</dc:language>
  <dcterms:modified xsi:type="dcterms:W3CDTF">2016-04-29T08:45:10Z</dcterms:modified>
  <cp:revision>2</cp:revision>
</cp:coreProperties>
</file>