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Title"/>
        <w:spacing w:before="0" w:after="0"/>
        <w:ind w:firstLine="567"/>
        <w:contextualSpacing/>
        <w:jc w:val="center"/>
        <w:rPr>
          <w:rFonts w:ascii="Times New Roman" w:hAnsi="Times New Roman" w:cs="Times New Roman"/>
          <w:b/>
          <w:b/>
          <w:sz w:val="24"/>
          <w:szCs w:val="24"/>
        </w:rPr>
      </w:pPr>
      <w:r>
        <w:rPr>
          <w:rFonts w:eastAsia="Times New Roman" w:cs="Times New Roman" w:ascii="Times New Roman" w:hAnsi="Times New Roman"/>
          <w:b/>
          <w:sz w:val="28"/>
          <w:szCs w:val="24"/>
        </w:rPr>
        <w:t>А</w:t>
      </w:r>
      <w:r>
        <w:rPr>
          <w:rFonts w:eastAsia="Times New Roman" w:cs="Times New Roman" w:ascii="Times New Roman" w:hAnsi="Times New Roman"/>
          <w:sz w:val="28"/>
          <w:szCs w:val="24"/>
        </w:rPr>
        <w:t>ДМИНИСТРАЦИЯ МУНИЦИПАЛЬНОГО ОБРАЗОВАНИЯ АЩЕБУТАКСКИЙ СЕЛЬСОВЕТ ДОМБАРОВСКОГО РАЙОНА ОРЕНБУРГСКОЙ ОБЛАСТИ</w:t>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 w:val="28"/>
          <w:szCs w:val="24"/>
        </w:rPr>
        <w:t>ПОСТАНОВЛЕНИЕ</w:t>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bCs/>
          <w:color w:val="00000A"/>
          <w:sz w:val="28"/>
          <w:szCs w:val="24"/>
        </w:rPr>
        <w:t>21.04.2021</w:t>
      </w:r>
      <w:r>
        <w:rPr>
          <w:rFonts w:eastAsia="Times New Roman" w:cs="Times New Roman" w:ascii="Times New Roman" w:hAnsi="Times New Roman"/>
          <w:sz w:val="28"/>
          <w:szCs w:val="24"/>
        </w:rPr>
        <w:t xml:space="preserve">                                                                                         </w:t>
      </w:r>
      <w:r>
        <w:rPr>
          <w:rFonts w:eastAsia="Times New Roman" w:cs="Times New Roman" w:ascii="Times New Roman" w:hAnsi="Times New Roman"/>
          <w:bCs/>
          <w:color w:val="00000A"/>
          <w:sz w:val="28"/>
          <w:szCs w:val="24"/>
          <w:lang w:eastAsia="ru-RU"/>
        </w:rPr>
        <w:t>2</w:t>
      </w:r>
      <w:r>
        <w:rPr>
          <w:rFonts w:eastAsia="Times New Roman" w:cs="Times New Roman" w:ascii="Times New Roman" w:hAnsi="Times New Roman"/>
          <w:bCs/>
          <w:color w:val="00000A"/>
          <w:sz w:val="28"/>
          <w:szCs w:val="24"/>
          <w:lang w:eastAsia="ru-RU"/>
        </w:rPr>
        <w:t>2</w:t>
      </w:r>
      <w:r>
        <w:rPr>
          <w:rFonts w:eastAsia="Times New Roman" w:cs="Times New Roman" w:ascii="Times New Roman" w:hAnsi="Times New Roman"/>
          <w:sz w:val="28"/>
          <w:szCs w:val="24"/>
        </w:rPr>
        <w:t>-п</w:t>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 w:val="28"/>
          <w:szCs w:val="28"/>
        </w:rPr>
        <w:t>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eastAsia="Times New Roman" w:cs="Times New Roman" w:ascii="Times New Roman" w:hAnsi="Times New Roman"/>
          <w:b/>
          <w:sz w:val="28"/>
          <w:szCs w:val="28"/>
        </w:rPr>
        <w:t>Выдача разрешения на условно разрешенный вид использования земельного участка или объекта капитального строительства</w:t>
      </w:r>
      <w:r>
        <w:rPr>
          <w:rFonts w:eastAsia="Times New Roman" w:cs="Times New Roman" w:ascii="Times New Roman" w:hAnsi="Times New Roman"/>
          <w:sz w:val="28"/>
          <w:szCs w:val="28"/>
        </w:rPr>
        <w:t xml:space="preserve">» </w:t>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«Выдача разрешения на условно разрешенный вид использования земельного участка или объекта капитального строительства» (приложение № 1).</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2. Контроль за исполнением оставляю за собой.</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Глава муниципального образования</w:t>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Ащебутакский сельсовет                                                                  Н.В. Конарева</w:t>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szCs w:val="24"/>
        </w:rPr>
      </w:r>
    </w:p>
    <w:p>
      <w:pPr>
        <w:pStyle w:val="Normal"/>
        <w:spacing w:lineRule="auto" w:line="240"/>
        <w:rPr>
          <w:rFonts w:ascii="Times New Roman" w:hAnsi="Times New Roman" w:cs="Times New Roman"/>
          <w:b/>
          <w:b/>
          <w:sz w:val="24"/>
          <w:szCs w:val="24"/>
        </w:rPr>
      </w:pPr>
      <w:r>
        <w:rPr>
          <w:rFonts w:eastAsia="Times New Roman"/>
          <w:b w:val="false"/>
          <w:bCs w:val="false"/>
          <w:sz w:val="28"/>
          <w:szCs w:val="28"/>
        </w:rPr>
        <w:t>Разослано: райадминистрации, райпрокуратуре, в дело</w:t>
      </w:r>
    </w:p>
    <w:p>
      <w:pPr>
        <w:pStyle w:val="Normal"/>
        <w:spacing w:lineRule="auto" w:line="240"/>
        <w:jc w:val="center"/>
        <w:rPr>
          <w:rFonts w:ascii="Times New Roman" w:hAnsi="Times New Roman" w:cs="Times New Roman"/>
          <w:b/>
          <w:b/>
          <w:sz w:val="24"/>
          <w:szCs w:val="24"/>
        </w:rPr>
      </w:pPr>
      <w:r>
        <w:rPr>
          <w:rFonts w:eastAsia="Times New Roman" w:cs="Times New Roman"/>
        </w:rPr>
      </w:r>
    </w:p>
    <w:p>
      <w:pPr>
        <w:pStyle w:val="Normal"/>
        <w:spacing w:lineRule="auto" w:line="240"/>
        <w:jc w:val="center"/>
        <w:rPr>
          <w:rFonts w:ascii="Times New Roman" w:hAnsi="Times New Roman" w:cs="Times New Roman"/>
          <w:b/>
          <w:b/>
          <w:sz w:val="24"/>
          <w:szCs w:val="24"/>
        </w:rPr>
      </w:pPr>
      <w:r>
        <w:rPr>
          <w:rFonts w:eastAsia="Times New Roman" w:cs="Times New Roman"/>
        </w:rPr>
      </w:r>
    </w:p>
    <w:p>
      <w:pPr>
        <w:sectPr>
          <w:headerReference w:type="default" r:id="rId2"/>
          <w:footerReference w:type="default" r:id="rId3"/>
          <w:type w:val="nextPage"/>
          <w:pgSz w:w="12240" w:h="15840"/>
          <w:pgMar w:left="1134" w:right="567" w:header="667" w:top="950" w:footer="1134" w:bottom="1417" w:gutter="0"/>
          <w:pgNumType w:start="29" w:fmt="decimal"/>
          <w:formProt w:val="false"/>
          <w:textDirection w:val="lrTb"/>
          <w:docGrid w:type="default" w:linePitch="326" w:charSpace="0"/>
        </w:sectPr>
        <w:pStyle w:val="Normal"/>
        <w:spacing w:lineRule="auto" w:line="240"/>
        <w:jc w:val="center"/>
        <w:rPr>
          <w:rFonts w:ascii="Times New Roman" w:hAnsi="Times New Roman" w:cs="Times New Roman"/>
          <w:b/>
          <w:b/>
          <w:sz w:val="24"/>
          <w:szCs w:val="24"/>
        </w:rPr>
      </w:pPr>
      <w:r>
        <w:rPr>
          <w:rFonts w:eastAsia="Times New Roman" w:cs="Times New Roman"/>
        </w:rPr>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Приложение</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к постановлению администрации</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 xml:space="preserve">муниципального образования Ащебутакский сельсовет </w:t>
      </w:r>
    </w:p>
    <w:p>
      <w:pPr>
        <w:pStyle w:val="ConsPlusNormal"/>
        <w:spacing w:before="0" w:after="0"/>
        <w:ind w:firstLine="567"/>
        <w:contextualSpacing/>
        <w:jc w:val="right"/>
        <w:rPr>
          <w:rFonts w:ascii="Times New Roman" w:hAnsi="Times New Roman" w:cs="Times New Roman"/>
          <w:b/>
          <w:b/>
          <w:sz w:val="24"/>
          <w:szCs w:val="24"/>
        </w:rPr>
      </w:pPr>
      <w:bookmarkStart w:id="0" w:name="_GoBack"/>
      <w:bookmarkEnd w:id="0"/>
      <w:r>
        <w:rPr>
          <w:rFonts w:eastAsia="Times New Roman" w:cs="Times New Roman" w:ascii="Times New Roman" w:hAnsi="Times New Roman"/>
          <w:b w:val="false"/>
          <w:bCs w:val="false"/>
          <w:szCs w:val="24"/>
        </w:rPr>
        <w:t>от _____________№________</w:t>
      </w:r>
    </w:p>
    <w:p>
      <w:pPr>
        <w:pStyle w:val="ConsPlusNormal"/>
        <w:spacing w:before="0" w:after="0"/>
        <w:ind w:firstLine="567"/>
        <w:contextualSpacing/>
        <w:jc w:val="center"/>
        <w:rPr>
          <w:rFonts w:ascii="Times New Roman" w:hAnsi="Times New Roman" w:cs="Times New Roman"/>
          <w:b/>
          <w:b/>
          <w:sz w:val="24"/>
          <w:szCs w:val="24"/>
        </w:rPr>
      </w:pPr>
      <w:r>
        <w:rPr/>
      </w:r>
    </w:p>
    <w:p>
      <w:pPr>
        <w:pStyle w:val="ConsPlusNormal"/>
        <w:spacing w:before="0" w:after="0"/>
        <w:ind w:firstLine="567"/>
        <w:contextualSpacing/>
        <w:jc w:val="center"/>
        <w:rPr>
          <w:rFonts w:ascii="Times New Roman" w:hAnsi="Times New Roman" w:cs="Times New Roman"/>
          <w:b/>
          <w:b/>
          <w:sz w:val="24"/>
          <w:szCs w:val="24"/>
        </w:rPr>
      </w:pPr>
      <w:r>
        <w:rPr>
          <w:rFonts w:cs="Times New Roman" w:ascii="Times New Roman" w:hAnsi="Times New Roman"/>
          <w:b/>
          <w:sz w:val="24"/>
          <w:szCs w:val="24"/>
        </w:rPr>
        <w:t>А</w:t>
      </w:r>
      <w:bookmarkStart w:id="1" w:name="_GoBack1"/>
      <w:r>
        <w:rPr>
          <w:rFonts w:cs="Times New Roman" w:ascii="Times New Roman" w:hAnsi="Times New Roman"/>
          <w:b/>
          <w:sz w:val="24"/>
          <w:szCs w:val="24"/>
        </w:rPr>
        <w:t>дминистративный регламент</w:t>
      </w:r>
    </w:p>
    <w:p>
      <w:pPr>
        <w:pStyle w:val="ConsPlusNormal"/>
        <w:spacing w:before="0" w:after="0"/>
        <w:ind w:firstLine="567"/>
        <w:contextualSpacing/>
        <w:jc w:val="center"/>
        <w:rPr>
          <w:rFonts w:ascii="Times New Roman" w:hAnsi="Times New Roman" w:cs="Times New Roman"/>
          <w:b/>
          <w:b/>
          <w:sz w:val="24"/>
          <w:szCs w:val="24"/>
        </w:rPr>
      </w:pPr>
      <w:r>
        <w:rPr>
          <w:rFonts w:cs="Times New Roman" w:ascii="Times New Roman" w:hAnsi="Times New Roman"/>
          <w:b/>
          <w:sz w:val="24"/>
          <w:szCs w:val="24"/>
        </w:rPr>
        <w:t>предоставления муниципальной услуги</w:t>
      </w:r>
    </w:p>
    <w:p>
      <w:pPr>
        <w:pStyle w:val="Normal"/>
        <w:ind w:firstLine="567"/>
        <w:jc w:val="center"/>
        <w:rPr>
          <w:b/>
          <w:b/>
        </w:rPr>
      </w:pPr>
      <w:r>
        <w:rPr>
          <w:b/>
        </w:rPr>
        <w:t xml:space="preserve"> </w:t>
      </w:r>
      <w:r>
        <w:rPr>
          <w:b/>
        </w:rPr>
        <w:t xml:space="preserve">«Выдача разрешения на условно разрешенный вид использования </w:t>
      </w:r>
    </w:p>
    <w:p>
      <w:pPr>
        <w:pStyle w:val="Normal"/>
        <w:ind w:firstLine="567"/>
        <w:jc w:val="center"/>
        <w:rPr>
          <w:b/>
          <w:b/>
        </w:rPr>
      </w:pPr>
      <w:r>
        <w:rPr>
          <w:b/>
        </w:rPr>
        <w:t>земельного участка или объекта капитального строительства</w:t>
      </w:r>
      <w:r>
        <w:rPr/>
        <w:t>»</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I. Общие положения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Предмет регулирования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pPr>
      <w:r>
        <w:rPr/>
        <w:t>1. Административный регламент предоставления муниципальной услуги «Выдача разрешения на условно разрешенный вид использования земельного участка или объекта капитального строительства»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w:t>
      </w:r>
    </w:p>
    <w:p>
      <w:pPr>
        <w:pStyle w:val="Normal"/>
        <w:ind w:firstLine="567"/>
        <w:jc w:val="both"/>
        <w:rPr>
          <w:rFonts w:ascii="Times New Roman" w:hAnsi="Times New Roman" w:eastAsia="Times New Roman" w:cs="Times New Roman"/>
          <w:sz w:val="24"/>
          <w:szCs w:val="24"/>
          <w:u w:val="single"/>
          <w:lang w:eastAsia="ru-RU"/>
        </w:rPr>
      </w:pPr>
      <w:r>
        <w:rPr>
          <w:rFonts w:eastAsia="Times New Roman" w:cs="Times New Roman"/>
          <w:sz w:val="24"/>
          <w:szCs w:val="24"/>
          <w:u w:val="single"/>
          <w:lang w:eastAsia="ru-RU"/>
        </w:rPr>
        <w:t xml:space="preserve">Администрация Ащебутакского сельсовета Домбаровского района </w:t>
      </w:r>
    </w:p>
    <w:p>
      <w:pPr>
        <w:pStyle w:val="Normal"/>
        <w:ind w:firstLine="567"/>
        <w:jc w:val="both"/>
        <w:rPr/>
      </w:pPr>
      <w:r>
        <w:rPr/>
        <w:t xml:space="preserve">                               </w:t>
      </w:r>
      <w:r>
        <w:rPr/>
        <w:t>(наименование муниципального образования)</w:t>
      </w:r>
    </w:p>
    <w:p>
      <w:pPr>
        <w:pStyle w:val="Normal"/>
        <w:ind w:firstLine="567"/>
        <w:jc w:val="both"/>
        <w:rPr/>
      </w:pPr>
      <w:r>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Круг заявителей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Заявителями являются физические или (и) юридические лица правообладатели земельного участка или иное лицо в случае, предусмотренном частью 1 ст. 39 Градостроительного кодекса Российской Федерации (далее – ГК РФ).</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порядку информирования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pPr>
      <w:r>
        <w:rPr/>
        <w:t xml:space="preserve">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 </w:t>
      </w:r>
      <w:r>
        <w:rPr>
          <w:rFonts w:eastAsia="Times New Roman" w:cs="Times New Roman"/>
          <w:sz w:val="24"/>
          <w:szCs w:val="24"/>
          <w:u w:val="single"/>
          <w:lang w:eastAsia="ru-RU"/>
        </w:rPr>
        <w:t xml:space="preserve">Администрация Ащебутакского сельсовета Домбаровского района </w:t>
      </w:r>
      <w:r>
        <w:rPr/>
        <w:t>, Оренбургской области, в Реестре государственных (муниципальных) услуг (функций) Оренбургской области  (далее - Реестр), а также в электронной форме через Единый портал государственных и муниципальных услуг (функций) Оренбургской области (www.gosuslugi.ru) (далее - Портал).</w:t>
      </w:r>
    </w:p>
    <w:p>
      <w:pPr>
        <w:pStyle w:val="Normal"/>
        <w:ind w:firstLine="567"/>
        <w:jc w:val="both"/>
        <w:rPr>
          <w:rFonts w:eastAsia="Calibri" w:eastAsiaTheme="minorHAnsi"/>
          <w:lang w:eastAsia="en-US"/>
        </w:rPr>
      </w:pPr>
      <w:r>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органов местного самоуправления,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в электронной форме через Портал.</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II. Стандарт предоставления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pPr>
      <w:r>
        <w:rPr/>
        <w:t>5. Наименование муниципальной услуги: «Выдача разрешения на условно разрешенный вид использования земельного участка или объекта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Муниципальная услуга носит заявительный порядок обращения.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органа, предоставляющего муниципальную услугу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7. Муниципальная услуга предоставляется органом местного самоуправления </w:t>
      </w:r>
      <w:r>
        <w:rPr>
          <w:rFonts w:eastAsia="Times New Roman" w:cs="Times New Roman" w:ascii="Times New Roman" w:hAnsi="Times New Roman"/>
          <w:sz w:val="24"/>
          <w:szCs w:val="24"/>
          <w:u w:val="single"/>
          <w:lang w:eastAsia="ru-RU"/>
        </w:rPr>
        <w:t xml:space="preserve">Администрация Ащебутакского сельсовета Домбаровского района </w:t>
      </w:r>
      <w:r>
        <w:rPr>
          <w:rFonts w:cs="Times New Roman" w:ascii="Times New Roman" w:hAnsi="Times New Roman"/>
          <w:sz w:val="24"/>
          <w:szCs w:val="24"/>
        </w:rPr>
        <w:t>.</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9. Запрещается требовать от заявителя представление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Результат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both"/>
        <w:rPr/>
      </w:pPr>
      <w:r>
        <w:rPr/>
        <w:t>10. Результатом предоставления муниципальной услуги является: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Выдача разрешения на условно разрешенный вид использования земельного участка или объекта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отказ в выдаче разрешения на отклонение от предельных параметров разрешенного строительства, реконструкции объектов капитального строительства.</w:t>
      </w:r>
    </w:p>
    <w:p>
      <w:pPr>
        <w:pStyle w:val="ConsPlusNormal"/>
        <w:spacing w:beforeAutospacing="1"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11. Заявителю в качестве результата предоставления муниципальной услуги обеспечивается по его выбору возможность получения:</w:t>
      </w:r>
    </w:p>
    <w:p>
      <w:pPr>
        <w:pStyle w:val="ConsPlusNormal"/>
        <w:spacing w:beforeAutospacing="1"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а) электронного документа, подписанного уполномоченным должностным лицом с использованием усиленной квалифицированной электронной подписи;</w:t>
      </w:r>
    </w:p>
    <w:p>
      <w:pPr>
        <w:pStyle w:val="ConsPlusNormal"/>
        <w:spacing w:beforeAutospacing="1"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б) документа на бумажном носителе, подтверждающего содержание электронного документа, направленного органом (организацией), в многофункциональном центре;</w:t>
      </w:r>
    </w:p>
    <w:p>
      <w:pPr>
        <w:pStyle w:val="ConsPlusNormal"/>
        <w:spacing w:beforeAutospacing="1"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информации из государственных информационных систем в случаях, предусмотренных законодательством Российской Федерации.</w:t>
      </w:r>
    </w:p>
    <w:p>
      <w:pPr>
        <w:pStyle w:val="ConsPlusNormal"/>
        <w:spacing w:beforeAutospacing="1"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12. Результат предоставления муниципальной услуги направляется заявителю с использованием Портала в форме электронного документа, подписанного уполномоченным должностным лицом с использованием усиленной квалифицированной электронной подписи (далее - ЭП).</w:t>
      </w:r>
    </w:p>
    <w:p>
      <w:pPr>
        <w:pStyle w:val="ConsPlusNormal"/>
        <w:spacing w:beforeAutospacing="1"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Срок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13. Срок предоставления муниципальной услуги</w:t>
      </w:r>
      <w:r>
        <w:rPr>
          <w:rFonts w:eastAsia="Calibri" w:cs="Times New Roman" w:ascii="Times New Roman" w:hAnsi="Times New Roman" w:eastAsiaTheme="minorHAnsi"/>
          <w:sz w:val="24"/>
          <w:szCs w:val="24"/>
          <w:lang w:eastAsia="en-US"/>
        </w:rPr>
        <w:t xml:space="preserve"> составляет 48 дней со дня получения заявления о предоставлении муниципальной услуги.</w:t>
      </w:r>
    </w:p>
    <w:p>
      <w:pPr>
        <w:pStyle w:val="ConsPlusNormal"/>
        <w:ind w:firstLine="567"/>
        <w:jc w:val="both"/>
        <w:rPr>
          <w:rFonts w:ascii="Times New Roman" w:hAnsi="Times New Roman" w:eastAsia="Calibri" w:cs="Times New Roman" w:eastAsiaTheme="minorHAnsi"/>
          <w:sz w:val="24"/>
          <w:szCs w:val="24"/>
          <w:lang w:eastAsia="en-US"/>
        </w:rPr>
      </w:pPr>
      <w:r>
        <w:rPr>
          <w:rFonts w:eastAsia="Calibri" w:cs="Times New Roman" w:eastAsiaTheme="minorHAnsi" w:ascii="Times New Roman" w:hAnsi="Times New Roman"/>
          <w:sz w:val="24"/>
          <w:szCs w:val="24"/>
          <w:lang w:eastAsia="en-US"/>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Нормативные правовые акты, регулирующие</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предоставление муниципальной услуги</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14.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органа местного самоуправления: </w:t>
      </w:r>
      <w:r>
        <w:rPr>
          <w:rFonts w:eastAsia="Times New Roman" w:cs="Times New Roman" w:ascii="Times New Roman" w:hAnsi="Times New Roman"/>
          <w:sz w:val="24"/>
          <w:szCs w:val="24"/>
          <w:u w:val="single"/>
          <w:lang w:eastAsia="ru-RU"/>
        </w:rPr>
        <w:t xml:space="preserve">Администрация Ащебутакского сельсовета Домбаровского района , </w:t>
      </w:r>
      <w:r>
        <w:rPr>
          <w:rFonts w:cs="Times New Roman" w:ascii="Times New Roman" w:hAnsi="Times New Roman"/>
          <w:sz w:val="24"/>
          <w:szCs w:val="24"/>
        </w:rPr>
        <w:t>в сети «Интернет», а также на Портале.</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и обязательных в соответствии с нормативными правовыми актами для предоставления муниципальной услуги</w:t>
      </w:r>
    </w:p>
    <w:p>
      <w:pPr>
        <w:pStyle w:val="ConsPlusNormal"/>
        <w:numPr>
          <w:ilvl w:val="0"/>
          <w:numId w:val="0"/>
        </w:numPr>
        <w:ind w:firstLine="567"/>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tabs>
          <w:tab w:val="left" w:pos="709" w:leader="none"/>
        </w:tabs>
        <w:ind w:firstLine="567"/>
        <w:jc w:val="both"/>
        <w:outlineLvl w:val="2"/>
        <w:rPr>
          <w:rFonts w:ascii="Times New Roman" w:hAnsi="Times New Roman" w:cs="Times New Roman"/>
          <w:sz w:val="24"/>
          <w:szCs w:val="24"/>
        </w:rPr>
      </w:pPr>
      <w:r>
        <w:rPr>
          <w:rFonts w:cs="Times New Roman" w:ascii="Times New Roman" w:hAnsi="Times New Roman"/>
          <w:sz w:val="24"/>
          <w:szCs w:val="24"/>
        </w:rPr>
        <w:t xml:space="preserve">15. Для получения муниципальной услуги заявитель предоставляет следующие документы: </w:t>
      </w:r>
    </w:p>
    <w:p>
      <w:pPr>
        <w:pStyle w:val="ConsPlusNormal"/>
        <w:numPr>
          <w:ilvl w:val="0"/>
          <w:numId w:val="0"/>
        </w:numPr>
        <w:tabs>
          <w:tab w:val="left" w:pos="709" w:leader="none"/>
        </w:tabs>
        <w:ind w:firstLine="567"/>
        <w:jc w:val="both"/>
        <w:outlineLvl w:val="2"/>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 xml:space="preserve">1) заявление по форме согласно приложению № 1 к настоящему Административному регламенту; </w:t>
      </w:r>
    </w:p>
    <w:p>
      <w:pPr>
        <w:pStyle w:val="ConsPlusNormal"/>
        <w:numPr>
          <w:ilvl w:val="0"/>
          <w:numId w:val="0"/>
        </w:numPr>
        <w:tabs>
          <w:tab w:val="left" w:pos="709" w:leader="none"/>
        </w:tabs>
        <w:ind w:firstLine="567"/>
        <w:jc w:val="both"/>
        <w:outlineLvl w:val="2"/>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2) документы, удостоверяющие личность гражданина (</w:t>
      </w:r>
      <w:r>
        <w:rPr>
          <w:rFonts w:eastAsia="Calibri" w:cs="Times New Roman" w:ascii="Times New Roman" w:hAnsi="Times New Roman"/>
          <w:sz w:val="24"/>
          <w:szCs w:val="24"/>
          <w:lang w:eastAsia="en-US"/>
        </w:rPr>
        <w:t>не требуются в случае, если представление документов осуществляется в электронном виде</w:t>
      </w:r>
      <w:r>
        <w:rPr>
          <w:rFonts w:eastAsia="Calibri" w:cs="Times New Roman" w:ascii="Times New Roman" w:hAnsi="Times New Roman" w:eastAsiaTheme="minorHAnsi"/>
          <w:sz w:val="24"/>
          <w:szCs w:val="24"/>
          <w:lang w:eastAsia="en-US"/>
        </w:rPr>
        <w:t>);</w:t>
      </w:r>
    </w:p>
    <w:p>
      <w:pPr>
        <w:pStyle w:val="ConsPlusNormal"/>
        <w:numPr>
          <w:ilvl w:val="0"/>
          <w:numId w:val="0"/>
        </w:numPr>
        <w:tabs>
          <w:tab w:val="left" w:pos="709" w:leader="none"/>
        </w:tabs>
        <w:ind w:firstLine="567"/>
        <w:jc w:val="both"/>
        <w:outlineLvl w:val="2"/>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3) копия доверенности (в случае, если заявление подаётся представителем);</w:t>
      </w:r>
    </w:p>
    <w:p>
      <w:pPr>
        <w:pStyle w:val="Normal"/>
        <w:ind w:firstLine="567"/>
        <w:jc w:val="both"/>
        <w:rPr>
          <w:rFonts w:eastAsia="Calibri" w:eastAsiaTheme="minorHAnsi"/>
          <w:lang w:eastAsia="en-US"/>
        </w:rPr>
      </w:pPr>
      <w:r>
        <w:rPr>
          <w:rFonts w:eastAsia="Calibri" w:eastAsiaTheme="minorHAnsi"/>
          <w:lang w:eastAsia="en-US"/>
        </w:rPr>
        <w:t>4) пояснительная записка, которая должна содержать сведения:</w:t>
      </w:r>
    </w:p>
    <w:p>
      <w:pPr>
        <w:pStyle w:val="Normal"/>
        <w:ind w:firstLine="567"/>
        <w:jc w:val="both"/>
        <w:rPr>
          <w:rFonts w:eastAsia="Calibri" w:eastAsiaTheme="minorHAnsi"/>
          <w:lang w:eastAsia="en-US"/>
        </w:rPr>
      </w:pPr>
      <w:r>
        <w:rPr>
          <w:rFonts w:eastAsia="Calibri" w:eastAsiaTheme="minorHAnsi"/>
          <w:lang w:eastAsia="en-US"/>
        </w:rPr>
        <w:t>о функциональном назначении предполагаемого к строительству или реконструкции объекта капитального строительства;</w:t>
      </w:r>
    </w:p>
    <w:p>
      <w:pPr>
        <w:pStyle w:val="Normal"/>
        <w:ind w:firstLine="567"/>
        <w:jc w:val="both"/>
        <w:rPr>
          <w:rFonts w:eastAsia="Calibri" w:eastAsiaTheme="minorHAnsi"/>
          <w:lang w:eastAsia="en-US"/>
        </w:rPr>
      </w:pPr>
      <w:r>
        <w:rPr>
          <w:rFonts w:eastAsia="Calibri" w:eastAsiaTheme="minorHAnsi"/>
          <w:lang w:eastAsia="en-US"/>
        </w:rPr>
        <w:t>о расчете потребности в системах социального, транспортного обслуживания и инженерно-технического обеспечения;</w:t>
      </w:r>
    </w:p>
    <w:p>
      <w:pPr>
        <w:pStyle w:val="Normal"/>
        <w:ind w:firstLine="567"/>
        <w:jc w:val="both"/>
        <w:rPr>
          <w:rFonts w:eastAsia="Calibri" w:eastAsiaTheme="minorHAnsi"/>
          <w:lang w:eastAsia="en-US"/>
        </w:rPr>
      </w:pPr>
      <w:r>
        <w:rPr>
          <w:rFonts w:eastAsia="Calibri" w:eastAsiaTheme="minorHAnsi"/>
          <w:lang w:eastAsia="en-US"/>
        </w:rPr>
        <w:t>о параметрах и характеристиках объекта капитального строительства;</w:t>
      </w:r>
    </w:p>
    <w:p>
      <w:pPr>
        <w:pStyle w:val="Normal"/>
        <w:ind w:firstLine="567"/>
        <w:jc w:val="both"/>
        <w:rPr>
          <w:rFonts w:eastAsia="Calibri" w:eastAsiaTheme="minorHAnsi"/>
          <w:lang w:eastAsia="en-US"/>
        </w:rPr>
      </w:pPr>
      <w:r>
        <w:rPr>
          <w:rFonts w:eastAsia="Calibri" w:eastAsiaTheme="minorHAnsi"/>
          <w:lang w:eastAsia="en-US"/>
        </w:rPr>
        <w:t xml:space="preserve">о характеристиках земельного участка, неблагоприятных для застройки в соответствии с </w:t>
      </w:r>
      <w:hyperlink r:id="rId4">
        <w:r>
          <w:rPr>
            <w:rFonts w:eastAsia="Calibri" w:eastAsiaTheme="minorHAnsi"/>
            <w:color w:val="0000FF"/>
            <w:lang w:eastAsia="en-US"/>
          </w:rPr>
          <w:t>пунктом 1 статьи 38</w:t>
        </w:r>
      </w:hyperlink>
      <w:r>
        <w:rPr>
          <w:rFonts w:eastAsia="Calibri" w:eastAsiaTheme="minorHAnsi"/>
          <w:lang w:eastAsia="en-US"/>
        </w:rPr>
        <w:t xml:space="preserve"> Градостроительного кодекса Российской Федерации, в связи с которыми запрашивается разрешение </w:t>
      </w:r>
      <w:r>
        <w:rPr/>
        <w:t>на условно разрешенный вид использования земельного участка или объекта капитального строительства</w:t>
      </w:r>
      <w:r>
        <w:rPr>
          <w:rFonts w:eastAsia="Calibri" w:eastAsiaTheme="minorHAnsi"/>
          <w:lang w:eastAsia="en-US"/>
        </w:rPr>
        <w:t>, о запрашиваемых предельных параметрах, а также величине отклонений от предельных параметров.</w:t>
      </w:r>
    </w:p>
    <w:p>
      <w:pPr>
        <w:pStyle w:val="ConsPlusNormal"/>
        <w:numPr>
          <w:ilvl w:val="0"/>
          <w:numId w:val="0"/>
        </w:numPr>
        <w:tabs>
          <w:tab w:val="left" w:pos="709" w:leader="none"/>
        </w:tabs>
        <w:ind w:firstLine="567"/>
        <w:jc w:val="both"/>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tabs>
          <w:tab w:val="left" w:pos="709" w:leader="none"/>
        </w:tabs>
        <w:ind w:firstLine="567"/>
        <w:jc w:val="both"/>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tabs>
          <w:tab w:val="left" w:pos="709" w:leader="none"/>
        </w:tabs>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tabs>
          <w:tab w:val="left" w:pos="709" w:leader="none"/>
        </w:tabs>
        <w:ind w:firstLine="567"/>
        <w:jc w:val="both"/>
        <w:rPr>
          <w:rFonts w:ascii="Times New Roman" w:hAnsi="Times New Roman" w:cs="Times New Roman"/>
          <w:sz w:val="24"/>
          <w:szCs w:val="24"/>
        </w:rPr>
      </w:pPr>
      <w:r>
        <w:rPr>
          <w:rFonts w:cs="Times New Roman" w:ascii="Times New Roman" w:hAnsi="Times New Roman"/>
          <w:sz w:val="24"/>
          <w:szCs w:val="24"/>
        </w:rPr>
        <w:t>16. Перечень документов, необходимых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муниципальной услуги:</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 xml:space="preserve">1) выписка из ЕГРН на земельный участок; </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 xml:space="preserve">2) выписка из ЕГРН на объект капитального строительства; </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 xml:space="preserve">3) кадастровый паспорт земельного участка; </w:t>
      </w:r>
    </w:p>
    <w:p>
      <w:pPr>
        <w:pStyle w:val="ConsPlusNormal"/>
        <w:tabs>
          <w:tab w:val="left" w:pos="709" w:leader="none"/>
        </w:tabs>
        <w:ind w:firstLine="567"/>
        <w:jc w:val="both"/>
        <w:rPr>
          <w:rFonts w:ascii="Times New Roman" w:hAnsi="Times New Roman" w:eastAsia="Calibri" w:cs="Times New Roman" w:eastAsiaTheme="minorHAnsi"/>
          <w:bCs/>
          <w:sz w:val="24"/>
          <w:szCs w:val="24"/>
          <w:lang w:eastAsia="en-US"/>
        </w:rPr>
      </w:pPr>
      <w:r>
        <w:rPr>
          <w:rFonts w:eastAsia="Calibri" w:cs="Times New Roman" w:ascii="Times New Roman" w:hAnsi="Times New Roman" w:eastAsiaTheme="minorHAnsi"/>
          <w:bCs/>
          <w:sz w:val="24"/>
          <w:szCs w:val="24"/>
          <w:lang w:eastAsia="en-US"/>
        </w:rPr>
        <w:t>4) кадастровый паспорт объекта капитального строительства.</w:t>
      </w:r>
    </w:p>
    <w:p>
      <w:pPr>
        <w:pStyle w:val="Normal"/>
        <w:ind w:firstLine="567"/>
        <w:jc w:val="both"/>
        <w:rPr/>
      </w:pPr>
      <w:r>
        <w:rPr/>
        <w:t>Если документы (их копии или сведения, содержащиеся в них), указанные в настоящем пункте Административного регламента,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местного самоуправления самостоятельно в органах и организациях, в распоряжении которых находятся указанные документы, если заявитель не представил указанные документы самостоятельно.</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17. 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Неполучение или несвоевременное получение документов, указанных в подпунктах 1 – 4 пункта 16 настоящего Административного регламента пункта не может являться основанием для отказа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18. Запрещается требовать от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части 6 статьи 7 Федерального закона № 210-ФЗ;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19. Заявитель вправе представить документы следующими способами: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посредством личного обращения;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в электронном виде;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почтовым отправлением.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20. 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21. Документы в электронной форме, включая сформированный в электронной форме запрос, представляются заявителем с использованием Портала.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отказа в приёме документов,</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необходимых для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bookmarkStart w:id="2" w:name="P226"/>
      <w:bookmarkEnd w:id="2"/>
      <w:r>
        <w:rPr>
          <w:rFonts w:cs="Times New Roman" w:ascii="Times New Roman" w:hAnsi="Times New Roman"/>
          <w:sz w:val="24"/>
          <w:szCs w:val="24"/>
        </w:rPr>
        <w:t>22. Основаниями для отказа в приеме документов, необходимых для предоставления муниципальной услуги, являются: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представлен неполный перечень документов, указанных в пункте 15 Административного регламента;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текст заявления и представленных документов не поддается прочтению, в том числе при представлении документов в электронном виде: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электронные документы представлены в форматах, не предусмотренных Административным регламентом;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нарушены требования к сканированию представляемых документов, предусмотренные Административным регламентом;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вопрос, указанный в заявлении, не относится к порядку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 </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оснований для приостановления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или отказа в предоставлении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23. Основания для приостановления предоставления муниципальной услуги отсутствуют.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24. Основаниями для отказа в выдаче разрешения на отклонение от предельных параметров разрешенного строительства, реконструкции объектов капитального строительства являются: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заявитель не является правообладателем земельного участка;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2) 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3) </w:t>
      </w:r>
      <w:r>
        <w:rPr>
          <w:rFonts w:eastAsia="Calibri" w:cs="Times New Roman" w:ascii="Times New Roman" w:hAnsi="Times New Roman" w:eastAsiaTheme="minorHAnsi"/>
          <w:bCs/>
          <w:sz w:val="24"/>
          <w:szCs w:val="24"/>
          <w:lang w:eastAsia="en-US"/>
        </w:rPr>
        <w:t>нарушены требования технических регламентов или нормативов градостроительного проектирования при размещении объектов капитального строительства или их реконструкции;</w:t>
      </w:r>
    </w:p>
    <w:p>
      <w:pPr>
        <w:pStyle w:val="ConsPlusNormal"/>
        <w:ind w:firstLine="567"/>
        <w:jc w:val="both"/>
        <w:rPr>
          <w:rFonts w:ascii="Times New Roman" w:hAnsi="Times New Roman" w:cs="Times New Roman"/>
          <w:sz w:val="24"/>
          <w:szCs w:val="24"/>
        </w:rPr>
      </w:pPr>
      <w:r>
        <w:rPr>
          <w:rFonts w:eastAsia="Calibri" w:cs="Times New Roman" w:ascii="Times New Roman" w:hAnsi="Times New Roman" w:eastAsiaTheme="minorHAnsi"/>
          <w:bCs/>
          <w:sz w:val="24"/>
          <w:szCs w:val="24"/>
          <w:lang w:eastAsia="en-US"/>
        </w:rPr>
        <w:t xml:space="preserve">4) </w:t>
      </w:r>
      <w:r>
        <w:rPr>
          <w:rFonts w:cs="Times New Roman" w:ascii="Times New Roman" w:hAnsi="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(в том числе требований сохранности объектов культурного наследия и предмета охраны исторического поселения в соответствии с Федеральным законом от 25.06.2002 № 73-ФЗ «Об объектах культурного наследия (памятниках истории и культуры) народов Российской Федерации»), здоровья, безопасности проживания и жизнедеятельности людей, нормативов градостроительного проектирования, соблюдения прав и интересов владельцев смежно расположенных земельных участков и объектов недвижимости, иных физических и юридических лиц в результате реализации указанных в заявлении отклонений от предельных параметров разрешенного строительства, реконструкции объектов капитального строительства.</w:t>
      </w:r>
    </w:p>
    <w:p>
      <w:pPr>
        <w:pStyle w:val="ConsPlusNormal"/>
        <w:ind w:firstLine="567"/>
        <w:jc w:val="both"/>
        <w:rPr>
          <w:rFonts w:ascii="Times New Roman" w:hAnsi="Times New Roman" w:cs="Times New Roman"/>
          <w:sz w:val="24"/>
          <w:szCs w:val="24"/>
        </w:rPr>
      </w:pPr>
      <w:r>
        <w:rPr>
          <w:rFonts w:eastAsia="Calibri" w:cs="Times New Roman" w:ascii="Times New Roman" w:hAnsi="Times New Roman" w:eastAsiaTheme="minorHAnsi"/>
          <w:bCs/>
          <w:sz w:val="24"/>
          <w:szCs w:val="24"/>
          <w:lang w:eastAsia="en-US"/>
        </w:rPr>
        <w:t xml:space="preserve">5) отсутствие оснований, определенных </w:t>
      </w:r>
      <w:hyperlink r:id="rId5">
        <w:r>
          <w:rPr>
            <w:rFonts w:eastAsia="Calibri" w:cs="Times New Roman" w:ascii="Times New Roman" w:hAnsi="Times New Roman" w:eastAsiaTheme="minorHAnsi"/>
            <w:bCs/>
            <w:color w:val="0000FF"/>
            <w:sz w:val="24"/>
            <w:szCs w:val="24"/>
            <w:lang w:eastAsia="en-US"/>
          </w:rPr>
          <w:t>частью 1 статьи 38</w:t>
        </w:r>
      </w:hyperlink>
      <w:r>
        <w:rPr>
          <w:rFonts w:eastAsia="Calibri" w:cs="Times New Roman" w:ascii="Times New Roman" w:hAnsi="Times New Roman" w:eastAsiaTheme="minorHAnsi"/>
          <w:bCs/>
          <w:sz w:val="24"/>
          <w:szCs w:val="24"/>
          <w:lang w:eastAsia="en-US"/>
        </w:rPr>
        <w:t xml:space="preserve"> Градостроительного кодекса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25.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 xml:space="preserve">Перечень услуг, которые являются необходимыми и обязательными </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rPr>
          <w:rFonts w:ascii="Times New Roman" w:hAnsi="Times New Roman" w:cs="Times New Roman"/>
          <w:sz w:val="24"/>
          <w:szCs w:val="24"/>
        </w:rPr>
      </w:pPr>
      <w:r>
        <w:rPr>
          <w:rFonts w:cs="Times New Roman" w:ascii="Times New Roman" w:hAnsi="Times New Roman"/>
          <w:sz w:val="24"/>
          <w:szCs w:val="24"/>
        </w:rPr>
        <w:t>26.______________________________________________________________________________</w:t>
      </w:r>
    </w:p>
    <w:p>
      <w:pPr>
        <w:pStyle w:val="ConsPlusNormal"/>
        <w:ind w:firstLine="567"/>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ConsPlusNormal"/>
        <w:ind w:firstLine="567"/>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w:t>
      </w:r>
    </w:p>
    <w:p>
      <w:pPr>
        <w:pStyle w:val="ConsPlusNormal"/>
        <w:numPr>
          <w:ilvl w:val="0"/>
          <w:numId w:val="0"/>
        </w:numPr>
        <w:ind w:firstLine="567"/>
        <w:jc w:val="center"/>
        <w:outlineLvl w:val="2"/>
        <w:rPr>
          <w:rFonts w:ascii="Times New Roman" w:hAnsi="Times New Roman" w:eastAsia="Calibri" w:cs="Times New Roman" w:eastAsiaTheme="minorHAnsi"/>
          <w:sz w:val="24"/>
          <w:szCs w:val="24"/>
          <w:lang w:eastAsia="en-US"/>
        </w:rPr>
      </w:pPr>
      <w:r>
        <w:rPr>
          <w:rFonts w:cs="Times New Roman" w:ascii="Times New Roman" w:hAnsi="Times New Roman"/>
          <w:sz w:val="24"/>
          <w:szCs w:val="24"/>
        </w:rPr>
        <w:t xml:space="preserve">(указывается при наличии соответствующего </w:t>
      </w:r>
      <w:r>
        <w:rPr>
          <w:rFonts w:eastAsia="Calibri" w:cs="Times New Roman" w:ascii="Times New Roman" w:hAnsi="Times New Roman" w:eastAsiaTheme="minorHAnsi"/>
          <w:sz w:val="24"/>
          <w:szCs w:val="24"/>
          <w:lang w:eastAsia="en-US"/>
        </w:rPr>
        <w:t>нормативного правового акта представительного</w:t>
      </w:r>
    </w:p>
    <w:p>
      <w:pPr>
        <w:pStyle w:val="ConsPlusNormal"/>
        <w:numPr>
          <w:ilvl w:val="0"/>
          <w:numId w:val="0"/>
        </w:numPr>
        <w:ind w:firstLine="567"/>
        <w:jc w:val="center"/>
        <w:outlineLvl w:val="2"/>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органа местного самоуправления</w:t>
      </w:r>
      <w:r>
        <w:rPr>
          <w:rFonts w:cs="Times New Roman" w:ascii="Times New Roman" w:hAnsi="Times New Roman"/>
          <w:sz w:val="24"/>
          <w:szCs w:val="24"/>
        </w:rPr>
        <w:t>)</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Размер платы, взимаемой с заявителя при предоставлении муниципальной услуги</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27. Муниципальная услуга предоставляется без взимания платы.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Максимальный срок ожидания в очереди при подаче заявления (запроса) </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о предоставлении муниципальной услуги и при получении результата </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28.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составляет 15 минут.</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Предварительная запись на прием в МФЦ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ознакомления с режимом работы МФЦ, а также с доступными для записи на прием датами и интервалами времени приема;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записи в любые свободные для приема дату и время в пределах установленного в МФЦ графика приема заявителей.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Запись на прием может осуществляться посредством информационной системы МФЦ, которая обеспечивает возможность интеграции с Порталом.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Срок и порядок регистрации запроса заявителя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29. Регистрация заявления о предоставлении муниципальной услуги осуществляется в течение 1-го рабочего дня с момента его поступления в порядке, определенном инструкцией по делопроизводству.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Орган местного самоуправления/организация обеспечивает прием документов, необходимых для предоставления муниципальной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Требования к помещениям,</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в которых предоставляется государственная услуга,</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необходимым</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 в том числе к обеспечению доступности для инвалидов указанных объектов</w:t>
      </w:r>
    </w:p>
    <w:p>
      <w:pPr>
        <w:pStyle w:val="ConsPlusNormal"/>
        <w:ind w:firstLine="567"/>
        <w:jc w:val="center"/>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30. Прием заявителей должен осуществляться в специально выделенном для этих целей помещении.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31. Помещения для приема заявителей должны быть оборудованы табличками с указанием номера кабинета, фамилии, имени, отчества и должности государственного служащего, осуществляющего предоставление муниципальной услуги, режима работы.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32.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33. Места для заполнения документов обеспечиваются образцами заполнения документов, бланками документов и канцелярскими принадлежностями (писчая бумага, ручка).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34. Места предоставления муниципальной услуги должны быть:</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обеспечены доступными местами общественного пользования (туалеты) и хранения верхней одежды заявителей.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35.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к средствам связи и информации;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местного самоуправления, осуществляющим функции по выработке и реализации муниципальной политики и нормативно-правовому регулированию в сфере социальной защиты населения;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оказание специалистами, предоставляющими государственную услугу, помощи инвалидам в преодолении барьеров, мешающих получению ими услуг наравне с другими лицами.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36. Показателями доступности предоставления муниципальной услуги являются: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2) соблюдение стандарта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 предоставление возможности подачи заявления о предоставлении муниципальной услуги и документов через Портал;</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spacing w:before="0" w:after="0"/>
        <w:ind w:firstLine="567"/>
        <w:contextualSpacing/>
        <w:jc w:val="both"/>
        <w:rPr/>
      </w:pPr>
      <w:r>
        <w:rPr/>
        <w:t>5) возможность получения муниципальной услуги в многофункциональном центре предоставления государственных и муниципальных услуг;</w:t>
      </w:r>
    </w:p>
    <w:p>
      <w:pPr>
        <w:pStyle w:val="Normal"/>
        <w:spacing w:before="0" w:after="0"/>
        <w:ind w:firstLine="567"/>
        <w:contextualSpacing/>
        <w:jc w:val="both"/>
        <w:rPr/>
      </w:pPr>
      <w:r>
        <w:rPr/>
        <w:t>6) возможность либо невозможность получения муниципальной услуги в любом территориальном подразделении органа местного самоуправления Оренбургской области, предоставляющего государственную услугу, по выбору заявителя (экстерриториальный принцип).</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37. Показателями качества предоставления муниципальной услуги являются: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1) отсутствие очередей при приеме (выдаче) документов;</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2) отсутствие нарушений сроков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 отсутствие обоснованных жалоб со стороны заявителей по результатам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38. Количество взаимодействий заявителя с уполномоченными должностными лицами органа местного самоуправления при предоставлении муниципальной услуги - 2, их общая продолжительность - 30 минут:</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при личном обращении заявителя с заявлением о предоставлении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при личном получении заявителем результата предоставления муниципальной услуги.</w:t>
      </w:r>
    </w:p>
    <w:p>
      <w:pPr>
        <w:pStyle w:val="Normal"/>
        <w:numPr>
          <w:ilvl w:val="0"/>
          <w:numId w:val="0"/>
        </w:numPr>
        <w:ind w:firstLine="567"/>
        <w:jc w:val="center"/>
        <w:outlineLvl w:val="0"/>
        <w:rPr>
          <w:b/>
          <w:b/>
        </w:rPr>
      </w:pPr>
      <w:r>
        <w:rPr>
          <w:b/>
        </w:rPr>
      </w:r>
    </w:p>
    <w:p>
      <w:pPr>
        <w:pStyle w:val="Normal"/>
        <w:numPr>
          <w:ilvl w:val="0"/>
          <w:numId w:val="0"/>
        </w:numPr>
        <w:ind w:firstLine="567"/>
        <w:jc w:val="center"/>
        <w:outlineLvl w:val="0"/>
        <w:rPr>
          <w:b/>
          <w:b/>
        </w:rPr>
      </w:pPr>
      <w:r>
        <w:rPr>
          <w:b/>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567"/>
        <w:jc w:val="both"/>
        <w:rPr/>
      </w:pPr>
      <w:r>
        <w:rPr/>
      </w:r>
    </w:p>
    <w:p>
      <w:pPr>
        <w:pStyle w:val="Normal"/>
        <w:spacing w:before="0" w:after="0"/>
        <w:ind w:firstLine="567"/>
        <w:contextualSpacing/>
        <w:jc w:val="both"/>
        <w:rPr/>
      </w:pPr>
      <w:r>
        <w:rPr/>
        <w:t>39. В случае если государственная услуга предоставляется по экстерриториальному принципу, подача запросов, документов, информации, необходимых для получения муниципальной услуги, предоставляемой органом местного самоуправления Оренбургской области, а также получение результата предоставления такой услуги осуществляются в многофункциональном центре Оренбургской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местонахождения (для юридических лиц) при наличии соглашения о взаимодействии.</w:t>
      </w:r>
    </w:p>
    <w:p>
      <w:pPr>
        <w:pStyle w:val="Normal"/>
        <w:spacing w:before="0" w:after="0"/>
        <w:ind w:firstLine="567"/>
        <w:contextualSpacing/>
        <w:jc w:val="both"/>
        <w:rPr/>
      </w:pPr>
      <w:r>
        <w:rPr/>
        <w:t>40. Предоставление муниципальной услуги оказывается при однократном обращении заявителя с запросом либо с запросом о предоставлении нескольких государственных услуг (далее - комплексный запрос) в МФЦ Оренбургской области. При комплексном запросе взаимодействие с органами местного самоуправления Оренбургской области, предоставляющими государственные услуги, осуществляется МФЦ Оренбургской области без участия заявителя при наличии соглашения о взаимодействии.</w:t>
      </w:r>
    </w:p>
    <w:p>
      <w:pPr>
        <w:pStyle w:val="Normal"/>
        <w:spacing w:before="0" w:after="0"/>
        <w:ind w:firstLine="567"/>
        <w:contextualSpacing/>
        <w:jc w:val="both"/>
        <w:rPr/>
      </w:pPr>
      <w:r>
        <w:rPr/>
        <w:t>41.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ab/>
        <w:t>42.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При формировании запроса заявителя в электронной форме заявителю обеспечиваются: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копирования и сохранения документов, необходимых для предоставления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печати на бумажном носителе копии электронной формы запроса;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вернуться на любой из этапов заполнения электронной формы запроса без потери ранее введенной информации;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 месяцев;</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Требования к электронным документам, представляемым заявителем для получения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а) прилагаемые к заявлению электронные документы представляются в одном из следующих форматов - pdf, jpg, png.</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б) в целях представления электронных документов сканирование документов на бумажном носителе осуществляется: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непосредственно с оригинала документа в масштабе 1:1 (не допускается сканирование с копий) с разрешением 300 dpi;</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черно-белом режиме при отсутствии в документе графических изображений;</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режиме полной цветопередачи при наличии в документе цветных графических изображений либо цветного текста;</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режиме "оттенки серого" при наличии в документе изображений, отличных от цветного изображения;</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в) документы в электронном виде могут быть подписаны квалифицированной ЭП.</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(указываются реквизиты нормативного правового акта, в соответствии с которым требуется обязательное подписание квалифицированной ЭП).</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г) наименования электронных документов должны соответствовать наименованиям документов на бумажном носителе.</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За представление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Normal"/>
        <w:ind w:firstLine="567"/>
        <w:jc w:val="both"/>
        <w:rPr/>
      </w:pPr>
      <w:r>
        <w:rPr/>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(действий), требования к порядку</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их выполнения, в том числе особенности выполнения</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в электронной форме</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Исчерпывающий перечень административных процедур</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43. Предоставление муниципальной услуги включает в себя выполнение следующих административных процедур:</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1) прием заявления и документов, их регистрация;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2) направление межведомственного запроса;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3) рассмотрение документов, представленных заявителем, ответов на межведомственные запросы;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 принятие решения о предоставлении муниципальной услуги  подготовка ответа;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 выдача заявителю результата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44. При предоставлении муниципальной услуги в электронной форме (при подаче заявления через Портал) заявителю обеспечиваются: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получение информации о порядке и сроках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запись на прием в МФЦ для подачи запроса о предоставлении услуги (при наличии технической возможности) (далее - запрос);</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формирование запроса;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прием и регистрация органом местного самоуправления запроса и иных документов, необходимых для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оплата муниципальной пошлины за предоставление услуг и уплата иных платежей, взимаемых в соответствии с законодательством Российской Федерации (в случае если при предоставлении муниципальной услуги предусмотрена оплата);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получение результата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получение сведений о ходе выполнения запроса;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осуществление оценки качества предоставления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досудебное (внесудебное) обжалование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исправление допущенных опечаток и ошибок в выданных в результате предоставления муниципальной услуги документах.</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45. Уведомление о завершении действий, предусмотренных пунктом 41 Административного регламента, направляется заявителю в срок, не превышающий 1 рабочего дня после завершения соответствующего действия, на адрес электронной почты или с использованием Портала.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заявителю направляются: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а) уведомление о приеме и регистрации документов, необходимых для предоставления муниципальной услуги, содержащее сведения о факте приема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муниципальной услуги и возможности получения результата предоставления муниципальной услуги либо мотивированный отказ в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567"/>
        <w:jc w:val="center"/>
        <w:rPr>
          <w:b/>
          <w:b/>
        </w:rPr>
      </w:pPr>
      <w:r>
        <w:rPr>
          <w:b/>
        </w:rPr>
        <w:t xml:space="preserve">Приём заявления и документов, их регистрация  </w:t>
      </w:r>
    </w:p>
    <w:p>
      <w:pPr>
        <w:pStyle w:val="Normal"/>
        <w:widowControl w:val="false"/>
        <w:ind w:firstLine="567"/>
        <w:jc w:val="center"/>
        <w:rPr>
          <w:b/>
          <w:b/>
        </w:rPr>
      </w:pPr>
      <w:r>
        <w:rPr>
          <w:b/>
        </w:rPr>
      </w:r>
    </w:p>
    <w:p>
      <w:pPr>
        <w:pStyle w:val="Normal"/>
        <w:ind w:firstLine="567"/>
        <w:jc w:val="both"/>
        <w:rPr/>
      </w:pPr>
      <w:r>
        <w:rPr/>
        <w:t>46. Основанием для начала административной процедуры является поступление к ответственному специалисту заявления и документов, предусмотренных пунктом 15 Административного регламента. При поступлении заявления в электронном виде через Портал ответственный специалист действует в соответствии с требованиями нормативных правовых актов.</w:t>
      </w:r>
    </w:p>
    <w:p>
      <w:pPr>
        <w:pStyle w:val="Normal"/>
        <w:ind w:firstLine="567"/>
        <w:jc w:val="both"/>
        <w:rPr/>
      </w:pPr>
      <w:r>
        <w:rPr/>
        <w:t>47. Специалист, ответственный за прием и регистрацию заявления о предоставлении муниципальной услуги и документов, осуществляет проверку на наличие оснований для отказа в приеме документов, указанных в пункте 22 Административного регламента.</w:t>
      </w:r>
    </w:p>
    <w:p>
      <w:pPr>
        <w:pStyle w:val="Normal"/>
        <w:ind w:firstLine="567"/>
        <w:jc w:val="both"/>
        <w:rPr/>
      </w:pPr>
      <w:r>
        <w:rPr/>
        <w:t>48. Время выполнения административной процедуры составляет  один рабочий день с момента поступления заявления в орган местного самоуправления.</w:t>
      </w:r>
    </w:p>
    <w:p>
      <w:pPr>
        <w:pStyle w:val="Normal"/>
        <w:ind w:firstLine="567"/>
        <w:jc w:val="both"/>
        <w:rPr/>
      </w:pPr>
      <w:r>
        <w:rPr/>
        <w:t>49. Результатом выполнения административной процедуры является регистрационная запись о дате и времени принятия заявления либо принятие и направление заявителю решения об отказе в приеме документов.</w:t>
      </w:r>
    </w:p>
    <w:p>
      <w:pPr>
        <w:pStyle w:val="Normal"/>
        <w:widowControl w:val="false"/>
        <w:ind w:firstLine="567"/>
        <w:jc w:val="center"/>
        <w:rPr>
          <w:rFonts w:eastAsia="Calibri" w:eastAsiaTheme="minorHAnsi"/>
          <w:b/>
          <w:b/>
          <w:lang w:eastAsia="en-US"/>
        </w:rPr>
      </w:pPr>
      <w:r>
        <w:rPr>
          <w:rFonts w:eastAsia="Calibri" w:eastAsiaTheme="minorHAnsi"/>
          <w:b/>
          <w:lang w:eastAsia="en-US"/>
        </w:rPr>
      </w:r>
    </w:p>
    <w:p>
      <w:pPr>
        <w:pStyle w:val="Normal"/>
        <w:widowControl w:val="false"/>
        <w:ind w:firstLine="567"/>
        <w:jc w:val="center"/>
        <w:rPr>
          <w:rFonts w:eastAsia="Calibri" w:eastAsiaTheme="minorHAnsi"/>
          <w:b/>
          <w:b/>
          <w:lang w:eastAsia="en-US"/>
        </w:rPr>
      </w:pPr>
      <w:r>
        <w:rPr>
          <w:rFonts w:eastAsia="Calibri" w:eastAsiaTheme="minorHAnsi"/>
          <w:b/>
          <w:lang w:eastAsia="en-US"/>
        </w:rPr>
        <w:t>Направление межведомственного запроса</w:t>
      </w:r>
    </w:p>
    <w:p>
      <w:pPr>
        <w:pStyle w:val="Normal"/>
        <w:widowControl w:val="false"/>
        <w:ind w:firstLine="567"/>
        <w:jc w:val="center"/>
        <w:rPr>
          <w:rFonts w:eastAsia="Calibri" w:eastAsiaTheme="minorHAnsi"/>
          <w:lang w:eastAsia="en-US"/>
        </w:rPr>
      </w:pPr>
      <w:r>
        <w:rPr>
          <w:rFonts w:eastAsia="Calibri" w:eastAsiaTheme="minorHAnsi"/>
          <w:lang w:eastAsia="en-US"/>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50. Основанием для начала административной процедуры является непредставление заявителем по собственной инициативе документа (документов), указанных в пункте 16 настоящего Административного регламента.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Уполномоченными должностными лицами направляются </w:t>
      </w:r>
      <w:r>
        <w:rPr>
          <w:rFonts w:eastAsia="Calibri" w:cs="Times New Roman" w:ascii="Times New Roman" w:hAnsi="Times New Roman" w:eastAsiaTheme="minorHAnsi"/>
          <w:sz w:val="24"/>
          <w:szCs w:val="24"/>
          <w:lang w:eastAsia="en-US"/>
        </w:rPr>
        <w:t>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51. Время выполнения административной процедуры: осуществляется в  течение 3-х дней со дня получения заявления о предоставлении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52. Результатом выполнения административной процедуры является получение ответа на запрос в течение не более 5-ти рабочих дней со дня его направления.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widowControl w:val="false"/>
        <w:ind w:firstLine="567"/>
        <w:jc w:val="center"/>
        <w:rPr>
          <w:b/>
          <w:b/>
        </w:rPr>
      </w:pPr>
      <w:r>
        <w:rPr>
          <w:b/>
        </w:rPr>
        <w:t>Рассмотрение документов, представленных заявителем,</w:t>
      </w:r>
    </w:p>
    <w:p>
      <w:pPr>
        <w:pStyle w:val="Normal"/>
        <w:widowControl w:val="false"/>
        <w:ind w:firstLine="567"/>
        <w:jc w:val="center"/>
        <w:rPr>
          <w:b/>
          <w:b/>
        </w:rPr>
      </w:pPr>
      <w:r>
        <w:rPr>
          <w:b/>
        </w:rPr>
        <w:t>ответов на межведомственные запросы, принятие решения о предоставлении муниципальной услуги (об отказе в предоставлении муниципальной услуги),</w:t>
      </w:r>
    </w:p>
    <w:p>
      <w:pPr>
        <w:pStyle w:val="Normal"/>
        <w:widowControl w:val="false"/>
        <w:ind w:firstLine="567"/>
        <w:jc w:val="center"/>
        <w:rPr>
          <w:b/>
          <w:b/>
        </w:rPr>
      </w:pPr>
      <w:r>
        <w:rPr>
          <w:b/>
        </w:rPr>
        <w:t>подготовка ответа</w:t>
      </w:r>
    </w:p>
    <w:p>
      <w:pPr>
        <w:pStyle w:val="Normal"/>
        <w:widowControl w:val="false"/>
        <w:ind w:firstLine="567"/>
        <w:jc w:val="center"/>
        <w:rPr>
          <w:rFonts w:eastAsia="Calibri" w:eastAsiaTheme="minorHAnsi"/>
          <w:b/>
          <w:b/>
          <w:color w:val="FF0000"/>
          <w:lang w:eastAsia="en-US"/>
        </w:rPr>
      </w:pPr>
      <w:r>
        <w:rPr>
          <w:rFonts w:eastAsia="Calibri" w:eastAsiaTheme="minorHAnsi"/>
          <w:b/>
          <w:color w:val="FF0000"/>
          <w:lang w:eastAsia="en-US"/>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53.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54. Время выполнения административной процедуры </w:t>
      </w:r>
      <w:r>
        <w:rPr>
          <w:rFonts w:eastAsia="Calibri" w:cs="Times New Roman" w:ascii="Times New Roman" w:hAnsi="Times New Roman" w:eastAsiaTheme="minorHAnsi"/>
          <w:sz w:val="24"/>
          <w:szCs w:val="24"/>
          <w:lang w:eastAsia="en-US"/>
        </w:rPr>
        <w:t xml:space="preserve">48 дней </w:t>
      </w:r>
      <w:r>
        <w:rPr>
          <w:rFonts w:cs="Times New Roman" w:ascii="Times New Roman" w:hAnsi="Times New Roman"/>
          <w:sz w:val="24"/>
          <w:szCs w:val="24"/>
        </w:rPr>
        <w:t>со дня регистрации заявления или получения ответов на межведомственные запросы в случае их направления.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55. Результатом выполнения административной процедуры является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pPr>
        <w:pStyle w:val="ConsPlusNormal"/>
        <w:ind w:firstLine="567"/>
        <w:jc w:val="both"/>
        <w:rPr>
          <w:rFonts w:ascii="Times New Roman" w:hAnsi="Times New Roman" w:cs="Times New Roman"/>
          <w:b/>
          <w:b/>
          <w:sz w:val="24"/>
          <w:szCs w:val="24"/>
        </w:rPr>
      </w:pPr>
      <w:r>
        <w:rPr>
          <w:rFonts w:cs="Times New Roman" w:ascii="Times New Roman" w:hAnsi="Times New Roman"/>
          <w:b/>
          <w:sz w:val="24"/>
          <w:szCs w:val="24"/>
        </w:rPr>
      </w:r>
    </w:p>
    <w:p>
      <w:pPr>
        <w:pStyle w:val="Normal"/>
        <w:widowControl w:val="false"/>
        <w:ind w:firstLine="567"/>
        <w:jc w:val="center"/>
        <w:rPr>
          <w:rFonts w:eastAsia="Calibri" w:eastAsiaTheme="minorHAnsi"/>
          <w:b/>
          <w:b/>
          <w:lang w:eastAsia="en-US"/>
        </w:rPr>
      </w:pPr>
      <w:r>
        <w:rPr>
          <w:rFonts w:eastAsia="Calibri" w:eastAsiaTheme="minorHAnsi"/>
          <w:b/>
          <w:lang w:eastAsia="en-US"/>
        </w:rPr>
        <w:t>Выдача заявителю результата предоставления</w:t>
      </w:r>
    </w:p>
    <w:p>
      <w:pPr>
        <w:pStyle w:val="Normal"/>
        <w:widowControl w:val="false"/>
        <w:ind w:firstLine="567"/>
        <w:jc w:val="center"/>
        <w:rPr>
          <w:rFonts w:eastAsia="Calibri" w:eastAsiaTheme="minorHAnsi"/>
          <w:b/>
          <w:b/>
          <w:lang w:eastAsia="en-US"/>
        </w:rPr>
      </w:pPr>
      <w:r>
        <w:rPr>
          <w:rFonts w:eastAsia="Calibri" w:eastAsiaTheme="minorHAnsi"/>
          <w:b/>
          <w:lang w:eastAsia="en-US"/>
        </w:rPr>
        <w:t>муниципальной услуги</w:t>
      </w:r>
    </w:p>
    <w:p>
      <w:pPr>
        <w:pStyle w:val="Normal"/>
        <w:widowControl w:val="false"/>
        <w:ind w:firstLine="567"/>
        <w:jc w:val="center"/>
        <w:rPr/>
      </w:pPr>
      <w:r>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56. Основанием для начала административной процедуры является подписание уполномоченным должностным лицом органа местного самоуправления разрешения на условно разрешенный вид использования земельного участка или объекта капитального строительства либо мотивированного отказа в выдаче разрешения на отклонение от предельных параметров разрешенного строительства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57. </w:t>
      </w:r>
      <w:r>
        <w:rPr>
          <w:rFonts w:eastAsia="Calibri" w:cs="Times New Roman" w:ascii="Times New Roman" w:hAnsi="Times New Roman" w:eastAsiaTheme="minorHAnsi"/>
          <w:sz w:val="24"/>
          <w:szCs w:val="24"/>
          <w:lang w:eastAsia="en-US"/>
        </w:rPr>
        <w:t>Уведомление заявителя о принятом решении</w:t>
      </w:r>
      <w:r>
        <w:rPr>
          <w:rFonts w:cs="Times New Roman" w:ascii="Times New Roman" w:hAnsi="Times New Roman"/>
          <w:sz w:val="24"/>
          <w:szCs w:val="24"/>
        </w:rPr>
        <w:t xml:space="preserve"> </w:t>
      </w:r>
      <w:r>
        <w:rPr>
          <w:rFonts w:eastAsia="Calibri" w:cs="Times New Roman" w:ascii="Times New Roman" w:hAnsi="Times New Roman" w:eastAsiaTheme="minorHAnsi"/>
          <w:sz w:val="24"/>
          <w:szCs w:val="24"/>
          <w:lang w:eastAsia="en-US"/>
        </w:rPr>
        <w:t>осуществляется у</w:t>
      </w:r>
      <w:r>
        <w:rPr>
          <w:rFonts w:cs="Times New Roman" w:ascii="Times New Roman" w:hAnsi="Times New Roman"/>
          <w:sz w:val="24"/>
          <w:szCs w:val="24"/>
        </w:rPr>
        <w:t>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 заявителя.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58. Время выполнения административной процедуры: осуществляется в течение 3-х дней.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59. Результатом выполнения административной процедуры является выдача заявителю: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 xml:space="preserve">разрешения на условно разрешенный вид использования земельного участка или объекта капитального строительства;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мотивированного отказа в выдаче разрешения на условно разрешенный вид использования земельного участка или объекта капитального строительства.</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При предоставлении муниципальной услуги в электронной форме результатом административной процедуры является направление электронного документа в личный кабинет заявителя на Портале и (в случае выбора заявителя) выдача заявителю в МФЦ документа на бумажном носителе, подтверждающего содержание электронного документа, направленного органом (организацией). Электронные документы, являющиеся результатом предоставления услуги, готовятся в формате pdf, подписываются открепленной усиленной квалифицированной ЭП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(организации) не требуется.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t xml:space="preserve">IV. Формы контроля за исполнением административного регламента </w:t>
      </w:r>
    </w:p>
    <w:p>
      <w:pPr>
        <w:pStyle w:val="ConsPlusNormal"/>
        <w:numPr>
          <w:ilvl w:val="0"/>
          <w:numId w:val="0"/>
        </w:numPr>
        <w:ind w:firstLine="567"/>
        <w:jc w:val="center"/>
        <w:outlineLvl w:val="1"/>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center"/>
        <w:rPr>
          <w:b/>
          <w:b/>
        </w:rPr>
      </w:pPr>
      <w:r>
        <w:rPr>
          <w:b/>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60. Текущий контроль за соблюдением последовательности действий, определенных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61. Текущий контроль осуществляется путем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 самоуправления.</w:t>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Порядок и периодичность осуществления плановых</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и внеплановых проверок полноты и качества предоставления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порядок и формы</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контроля за полнотой и качеством ее предоставления</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62.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63.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специалистов.</w:t>
      </w:r>
    </w:p>
    <w:p>
      <w:pPr>
        <w:pStyle w:val="ConsPlusNormal"/>
        <w:spacing w:before="0" w:after="0"/>
        <w:ind w:firstLine="567"/>
        <w:contextualSpacing/>
        <w:jc w:val="both"/>
        <w:rPr>
          <w:rFonts w:ascii="Times New Roman" w:hAnsi="Times New Roman" w:cs="Times New Roman"/>
          <w:sz w:val="24"/>
          <w:szCs w:val="24"/>
        </w:rPr>
      </w:pPr>
      <w:r>
        <w:rPr>
          <w:rFonts w:cs="Times New Roman" w:ascii="Times New Roman" w:hAnsi="Times New Roman"/>
          <w:sz w:val="24"/>
          <w:szCs w:val="24"/>
        </w:rPr>
        <w:t>64.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может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Ответственность должностных лиц органа</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местного самоуправления за решения и действия (бездействие), принимаемые (осуществляемые) ими в ходе предоставления</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65. 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 Федерации.</w:t>
      </w:r>
    </w:p>
    <w:p>
      <w:pPr>
        <w:pStyle w:val="ConsPlusNormal"/>
        <w:numPr>
          <w:ilvl w:val="0"/>
          <w:numId w:val="0"/>
        </w:numPr>
        <w:ind w:firstLine="567"/>
        <w:jc w:val="center"/>
        <w:outlineLvl w:val="2"/>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firstLine="567"/>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порядку и формам контроля за предоставлением</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со стороны граждан,</w:t>
      </w:r>
    </w:p>
    <w:p>
      <w:pPr>
        <w:pStyle w:val="ConsPlusNormal"/>
        <w:ind w:firstLine="567"/>
        <w:jc w:val="center"/>
        <w:rPr>
          <w:rFonts w:ascii="Times New Roman" w:hAnsi="Times New Roman" w:cs="Times New Roman"/>
          <w:b/>
          <w:b/>
          <w:sz w:val="24"/>
          <w:szCs w:val="24"/>
        </w:rPr>
      </w:pPr>
      <w:r>
        <w:rPr>
          <w:rFonts w:cs="Times New Roman" w:ascii="Times New Roman" w:hAnsi="Times New Roman"/>
          <w:b/>
          <w:sz w:val="24"/>
          <w:szCs w:val="24"/>
        </w:rPr>
        <w:t>их объединений и организаций</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66. Заявители имеют право осуществлять контроль соблюдения положений Административного регламента, сроков исполнения административных процедур в ходе рассмотрения их заявлений путем получения устной информации (по телефону) или письменных, в том числе в электронном виде, ответов на их запросы.</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567"/>
        <w:jc w:val="center"/>
        <w:rPr>
          <w:b/>
          <w:b/>
        </w:rPr>
      </w:pPr>
      <w:r>
        <w:rPr>
          <w:b/>
        </w:rPr>
        <w:t>V. Досудебный (внесудебный) порядок обжалования решений и действий (бездействия) органа местного самоуправления,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pPr>
        <w:pStyle w:val="Normal"/>
        <w:ind w:firstLine="567"/>
        <w:jc w:val="center"/>
        <w:rPr>
          <w:b/>
          <w:b/>
        </w:rPr>
      </w:pPr>
      <w:r>
        <w:rPr>
          <w:b/>
        </w:rPr>
      </w:r>
    </w:p>
    <w:p>
      <w:pPr>
        <w:pStyle w:val="Normal"/>
        <w:ind w:firstLine="567"/>
        <w:jc w:val="both"/>
        <w:rPr/>
      </w:pPr>
      <w:r>
        <w:rPr/>
        <w:t>67. Информация, указанная в данном разделе, подлежит обязательному размещению на Портале.</w:t>
      </w:r>
    </w:p>
    <w:p>
      <w:pPr>
        <w:pStyle w:val="Normal"/>
        <w:ind w:firstLine="567"/>
        <w:jc w:val="both"/>
        <w:rPr>
          <w:b/>
          <w:b/>
        </w:rPr>
      </w:pPr>
      <w:r>
        <w:rPr>
          <w:b/>
        </w:rPr>
      </w:r>
    </w:p>
    <w:p>
      <w:pPr>
        <w:pStyle w:val="Normal"/>
        <w:numPr>
          <w:ilvl w:val="0"/>
          <w:numId w:val="0"/>
        </w:numPr>
        <w:ind w:firstLine="567"/>
        <w:jc w:val="center"/>
        <w:outlineLvl w:val="0"/>
        <w:rPr>
          <w:b/>
          <w:b/>
        </w:rPr>
      </w:pPr>
      <w:r>
        <w:rPr>
          <w:b/>
        </w:rPr>
        <w:t xml:space="preserve"> </w:t>
      </w:r>
      <w:r>
        <w:rPr>
          <w:b/>
        </w:rPr>
        <w:t>Информация</w:t>
      </w:r>
    </w:p>
    <w:p>
      <w:pPr>
        <w:pStyle w:val="Normal"/>
        <w:ind w:firstLine="567"/>
        <w:jc w:val="center"/>
        <w:rPr>
          <w:b/>
          <w:b/>
        </w:rPr>
      </w:pPr>
      <w:r>
        <w:rPr>
          <w:b/>
        </w:rPr>
        <w:t>для заинтересованных лиц об их праве</w:t>
      </w:r>
    </w:p>
    <w:p>
      <w:pPr>
        <w:pStyle w:val="Normal"/>
        <w:ind w:firstLine="567"/>
        <w:jc w:val="center"/>
        <w:rPr>
          <w:b/>
          <w:b/>
        </w:rPr>
      </w:pPr>
      <w:r>
        <w:rPr>
          <w:b/>
        </w:rPr>
        <w:t>на досудебное (внесудебное) обжалование действий</w:t>
      </w:r>
    </w:p>
    <w:p>
      <w:pPr>
        <w:pStyle w:val="Normal"/>
        <w:ind w:firstLine="567"/>
        <w:jc w:val="center"/>
        <w:rPr>
          <w:b/>
          <w:b/>
        </w:rPr>
      </w:pPr>
      <w:r>
        <w:rPr>
          <w:b/>
        </w:rPr>
        <w:t>(бездействия) и (или) решений, принятых (осуществленных)</w:t>
      </w:r>
    </w:p>
    <w:p>
      <w:pPr>
        <w:pStyle w:val="Normal"/>
        <w:ind w:firstLine="567"/>
        <w:jc w:val="center"/>
        <w:rPr>
          <w:b/>
          <w:b/>
        </w:rPr>
      </w:pPr>
      <w:r>
        <w:rPr>
          <w:b/>
        </w:rPr>
        <w:t>в ходе предоставления муниципальной услуги</w:t>
      </w:r>
    </w:p>
    <w:p>
      <w:pPr>
        <w:pStyle w:val="Normal"/>
        <w:ind w:firstLine="567"/>
        <w:jc w:val="center"/>
        <w:rPr/>
      </w:pPr>
      <w:r>
        <w:rPr/>
      </w:r>
    </w:p>
    <w:p>
      <w:pPr>
        <w:pStyle w:val="Normal"/>
        <w:ind w:firstLine="567"/>
        <w:jc w:val="both"/>
        <w:rPr/>
      </w:pPr>
      <w:r>
        <w:rPr/>
        <w:t>68.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ind w:firstLine="567"/>
        <w:jc w:val="both"/>
        <w:rPr/>
      </w:pPr>
      <w:r>
        <w:rPr/>
      </w:r>
    </w:p>
    <w:p>
      <w:pPr>
        <w:pStyle w:val="Normal"/>
        <w:numPr>
          <w:ilvl w:val="0"/>
          <w:numId w:val="0"/>
        </w:numPr>
        <w:ind w:firstLine="567"/>
        <w:jc w:val="center"/>
        <w:outlineLvl w:val="1"/>
        <w:rPr>
          <w:b/>
          <w:b/>
        </w:rPr>
      </w:pPr>
      <w:r>
        <w:rPr>
          <w:b/>
        </w:rPr>
        <w:t>Органы муниципальной власти, организации и уполномоченные</w:t>
      </w:r>
    </w:p>
    <w:p>
      <w:pPr>
        <w:pStyle w:val="Normal"/>
        <w:ind w:firstLine="567"/>
        <w:jc w:val="center"/>
        <w:rPr>
          <w:b/>
          <w:b/>
        </w:rPr>
      </w:pPr>
      <w:r>
        <w:rPr>
          <w:b/>
        </w:rPr>
        <w:t>на рассмотрение жалобы лица, которым может быть направлена</w:t>
      </w:r>
    </w:p>
    <w:p>
      <w:pPr>
        <w:pStyle w:val="Normal"/>
        <w:ind w:firstLine="567"/>
        <w:jc w:val="center"/>
        <w:rPr>
          <w:b/>
          <w:b/>
        </w:rPr>
      </w:pPr>
      <w:r>
        <w:rPr>
          <w:b/>
        </w:rPr>
        <w:t>жалоба заявителя в досудебном (внесудебном) порядке</w:t>
      </w:r>
    </w:p>
    <w:p>
      <w:pPr>
        <w:pStyle w:val="Normal"/>
        <w:ind w:firstLine="567"/>
        <w:jc w:val="both"/>
        <w:rPr/>
      </w:pPr>
      <w:r>
        <w:rPr/>
      </w:r>
    </w:p>
    <w:p>
      <w:pPr>
        <w:pStyle w:val="Normal"/>
        <w:spacing w:before="0" w:after="0"/>
        <w:ind w:firstLine="567"/>
        <w:contextualSpacing/>
        <w:jc w:val="both"/>
        <w:rPr/>
      </w:pPr>
      <w:r>
        <w:rPr/>
        <w:t>69.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pPr>
        <w:pStyle w:val="Normal"/>
        <w:spacing w:before="0" w:after="0"/>
        <w:ind w:firstLine="567"/>
        <w:contextualSpacing/>
        <w:jc w:val="both"/>
        <w:rPr/>
      </w:pPr>
      <w:r>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ind w:firstLine="567"/>
        <w:jc w:val="both"/>
        <w:rPr/>
      </w:pPr>
      <w:r>
        <w:rPr/>
      </w:r>
    </w:p>
    <w:p>
      <w:pPr>
        <w:pStyle w:val="Normal"/>
        <w:numPr>
          <w:ilvl w:val="0"/>
          <w:numId w:val="0"/>
        </w:numPr>
        <w:ind w:firstLine="567"/>
        <w:jc w:val="center"/>
        <w:outlineLvl w:val="1"/>
        <w:rPr>
          <w:b/>
          <w:b/>
        </w:rPr>
      </w:pPr>
      <w:r>
        <w:rPr>
          <w:b/>
        </w:rPr>
        <w:t>Способы информирования заявителей о порядке подачи</w:t>
      </w:r>
    </w:p>
    <w:p>
      <w:pPr>
        <w:pStyle w:val="Normal"/>
        <w:ind w:firstLine="567"/>
        <w:jc w:val="center"/>
        <w:rPr>
          <w:b/>
          <w:b/>
        </w:rPr>
      </w:pPr>
      <w:r>
        <w:rPr>
          <w:b/>
        </w:rPr>
        <w:t>и рассмотрения жалобы, в том числе с использованием Портала</w:t>
      </w:r>
    </w:p>
    <w:p>
      <w:pPr>
        <w:pStyle w:val="Normal"/>
        <w:ind w:firstLine="567"/>
        <w:jc w:val="both"/>
        <w:rPr/>
      </w:pPr>
      <w:r>
        <w:rPr/>
      </w:r>
    </w:p>
    <w:p>
      <w:pPr>
        <w:pStyle w:val="Normal"/>
        <w:ind w:firstLine="567"/>
        <w:jc w:val="both"/>
        <w:rPr/>
      </w:pPr>
      <w:r>
        <w:rPr/>
        <w:t>70.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pPr>
        <w:pStyle w:val="Normal"/>
        <w:ind w:firstLine="567"/>
        <w:jc w:val="both"/>
        <w:rPr/>
      </w:pPr>
      <w:r>
        <w:rPr/>
      </w:r>
    </w:p>
    <w:p>
      <w:pPr>
        <w:pStyle w:val="Normal"/>
        <w:numPr>
          <w:ilvl w:val="0"/>
          <w:numId w:val="0"/>
        </w:numPr>
        <w:ind w:firstLine="567"/>
        <w:jc w:val="center"/>
        <w:outlineLvl w:val="1"/>
        <w:rPr>
          <w:b/>
          <w:b/>
        </w:rPr>
      </w:pPr>
      <w:r>
        <w:rPr>
          <w:b/>
        </w:rPr>
        <w:t>Перечень</w:t>
      </w:r>
    </w:p>
    <w:p>
      <w:pPr>
        <w:pStyle w:val="Normal"/>
        <w:ind w:firstLine="567"/>
        <w:jc w:val="center"/>
        <w:rPr>
          <w:b/>
          <w:b/>
        </w:rPr>
      </w:pPr>
      <w:r>
        <w:rPr>
          <w:b/>
        </w:rPr>
        <w:t>нормативных правовых актов, регулирующих порядок</w:t>
      </w:r>
    </w:p>
    <w:p>
      <w:pPr>
        <w:pStyle w:val="Normal"/>
        <w:ind w:firstLine="567"/>
        <w:jc w:val="center"/>
        <w:rPr>
          <w:b/>
          <w:b/>
        </w:rPr>
      </w:pPr>
      <w:r>
        <w:rPr>
          <w:b/>
        </w:rPr>
        <w:t>досудебного (внесудебного) обжалования решений и действий</w:t>
      </w:r>
    </w:p>
    <w:p>
      <w:pPr>
        <w:pStyle w:val="Normal"/>
        <w:ind w:firstLine="567"/>
        <w:jc w:val="center"/>
        <w:rPr>
          <w:b/>
          <w:b/>
        </w:rPr>
      </w:pPr>
      <w:r>
        <w:rPr>
          <w:b/>
        </w:rPr>
        <w:t>(бездействия) органа местного самоуправления</w:t>
      </w:r>
    </w:p>
    <w:p>
      <w:pPr>
        <w:pStyle w:val="Normal"/>
        <w:ind w:firstLine="567"/>
        <w:jc w:val="center"/>
        <w:rPr>
          <w:b/>
          <w:b/>
        </w:rPr>
      </w:pPr>
      <w:r>
        <w:rPr>
          <w:b/>
        </w:rPr>
        <w:t>Оренбургской области, а также его должностных лиц</w:t>
      </w:r>
    </w:p>
    <w:p>
      <w:pPr>
        <w:pStyle w:val="Normal"/>
        <w:ind w:firstLine="567"/>
        <w:jc w:val="both"/>
        <w:rPr/>
      </w:pPr>
      <w:r>
        <w:rPr/>
      </w:r>
    </w:p>
    <w:p>
      <w:pPr>
        <w:pStyle w:val="Normal"/>
        <w:ind w:firstLine="567"/>
        <w:jc w:val="both"/>
        <w:rPr/>
      </w:pPr>
      <w:r>
        <w:rPr/>
        <w:t xml:space="preserve">71. Федеральный </w:t>
      </w:r>
      <w:hyperlink r:id="rId6">
        <w:r>
          <w:rPr/>
          <w:t>закон</w:t>
        </w:r>
      </w:hyperlink>
      <w:r>
        <w:rPr/>
        <w:t xml:space="preserve"> от 27 июля 2010 года № 210-ФЗ «Об организации предоставления государственных и муниципальных услуг»;</w:t>
      </w:r>
    </w:p>
    <w:p>
      <w:pPr>
        <w:pStyle w:val="Normal"/>
        <w:ind w:firstLine="567"/>
        <w:jc w:val="both"/>
        <w:rPr>
          <w:color w:val="22272F"/>
        </w:rPr>
      </w:pPr>
      <w:r>
        <w:fldChar w:fldCharType="begin"/>
      </w:r>
      <w:r>
        <w:rPr>
          <w:color w:val="22272F"/>
        </w:rPr>
        <w:instrText> HYPERLINK "http://mobileonline.garant.ru/" \l "/document/27537955/entry/0"</w:instrText>
      </w:r>
      <w:r>
        <w:rPr>
          <w:color w:val="22272F"/>
        </w:rPr>
        <w:fldChar w:fldCharType="separate"/>
      </w:r>
      <w:r>
        <w:rPr>
          <w:color w:val="22272F"/>
        </w:rPr>
        <w:t>постановление</w:t>
      </w:r>
      <w:r>
        <w:rPr>
          <w:color w:val="22272F"/>
        </w:rPr>
        <w:fldChar w:fldCharType="end"/>
      </w:r>
      <w:r>
        <w:rPr>
          <w:color w:val="22272F"/>
        </w:rPr>
        <w:t xml:space="preserve"> Правительства РФ </w:t>
      </w:r>
      <w:r>
        <w:rPr/>
        <w:t xml:space="preserve">от 16 августа 2012 № 840 </w:t>
      </w:r>
      <w:r>
        <w:rPr>
          <w:color w:val="22272F"/>
        </w:rPr>
        <w:t xml:space="preserve">«О порядке </w:t>
      </w:r>
      <w:r>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7">
        <w:r>
          <w:rPr/>
          <w:t>частью 1.1 статьи 16</w:t>
        </w:r>
      </w:hyperlink>
      <w:r>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22272F"/>
        </w:rPr>
        <w:t>».</w:t>
      </w:r>
    </w:p>
    <w:p>
      <w:pPr>
        <w:pStyle w:val="Normal"/>
        <w:ind w:firstLine="567"/>
        <w:jc w:val="both"/>
        <w:rPr/>
      </w:pPr>
      <w:r>
        <w:rPr/>
      </w:r>
    </w:p>
    <w:p>
      <w:pPr>
        <w:pStyle w:val="Normal"/>
        <w:ind w:firstLine="567"/>
        <w:jc w:val="center"/>
        <w:rPr>
          <w:b/>
          <w:b/>
        </w:rPr>
      </w:pPr>
      <w:r>
        <w:rPr>
          <w:b/>
          <w:lang w:val="en-US"/>
        </w:rPr>
        <w:t>VI</w:t>
      </w:r>
      <w:r>
        <w:rPr>
          <w:b/>
        </w:rPr>
        <w:t xml:space="preserve">. Особенности выполнения административных процедур (действий) </w:t>
      </w:r>
    </w:p>
    <w:p>
      <w:pPr>
        <w:pStyle w:val="Normal"/>
        <w:ind w:firstLine="567"/>
        <w:jc w:val="center"/>
        <w:rPr>
          <w:b/>
          <w:b/>
        </w:rPr>
      </w:pPr>
      <w:r>
        <w:rPr>
          <w:b/>
        </w:rPr>
        <w:t xml:space="preserve">в многофункциональных центрах предоставления </w:t>
      </w:r>
    </w:p>
    <w:p>
      <w:pPr>
        <w:pStyle w:val="Normal"/>
        <w:ind w:firstLine="567"/>
        <w:jc w:val="center"/>
        <w:rPr>
          <w:b/>
          <w:b/>
        </w:rPr>
      </w:pPr>
      <w:r>
        <w:rPr>
          <w:b/>
        </w:rPr>
        <w:t>государственных и муниципальных услуг</w:t>
      </w:r>
    </w:p>
    <w:p>
      <w:pPr>
        <w:pStyle w:val="Normal"/>
        <w:numPr>
          <w:ilvl w:val="0"/>
          <w:numId w:val="0"/>
        </w:numPr>
        <w:ind w:firstLine="567"/>
        <w:jc w:val="center"/>
        <w:outlineLvl w:val="0"/>
        <w:rPr/>
      </w:pPr>
      <w:r>
        <w:rPr/>
      </w:r>
    </w:p>
    <w:p>
      <w:pPr>
        <w:pStyle w:val="Normal"/>
        <w:spacing w:before="0" w:after="0"/>
        <w:ind w:firstLine="567"/>
        <w:contextualSpacing/>
        <w:jc w:val="both"/>
        <w:rPr/>
      </w:pPr>
      <w:r>
        <w:rPr/>
        <w:t>72.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pPr>
        <w:pStyle w:val="Normal"/>
        <w:spacing w:before="0" w:after="0"/>
        <w:ind w:firstLine="567"/>
        <w:contextualSpacing/>
        <w:jc w:val="both"/>
        <w:rPr/>
      </w:pPr>
      <w:r>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pPr>
        <w:pStyle w:val="Normal"/>
        <w:spacing w:before="0" w:after="0"/>
        <w:ind w:firstLine="567"/>
        <w:contextualSpacing/>
        <w:jc w:val="both"/>
        <w:rPr/>
      </w:pPr>
      <w:r>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before="0" w:after="0"/>
        <w:ind w:firstLine="567"/>
        <w:contextualSpacing/>
        <w:jc w:val="both"/>
        <w:rPr/>
      </w:pPr>
      <w:r>
        <w:rPr/>
        <w:t>Информирование заявителей в МФЦ осуществляется при личном обращении, посредством сети Интернет, электронной почты или по телефону.</w:t>
      </w:r>
    </w:p>
    <w:p>
      <w:pPr>
        <w:pStyle w:val="Normal"/>
        <w:spacing w:before="0" w:after="0"/>
        <w:ind w:firstLine="567"/>
        <w:contextualSpacing/>
        <w:jc w:val="both"/>
        <w:rPr/>
      </w:pPr>
      <w:r>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pPr>
        <w:pStyle w:val="Normal"/>
        <w:spacing w:before="0" w:after="0"/>
        <w:ind w:firstLine="567"/>
        <w:contextualSpacing/>
        <w:jc w:val="both"/>
        <w:rPr/>
      </w:pPr>
      <w:r>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pPr>
        <w:pStyle w:val="Normal"/>
        <w:spacing w:before="0" w:after="0"/>
        <w:ind w:firstLine="567"/>
        <w:contextualSpacing/>
        <w:jc w:val="both"/>
        <w:rPr/>
      </w:pPr>
      <w:r>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pacing w:before="0" w:after="0"/>
        <w:ind w:firstLine="567"/>
        <w:contextualSpacing/>
        <w:jc w:val="both"/>
        <w:rPr/>
      </w:pPr>
      <w:r>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pPr>
        <w:pStyle w:val="Normal"/>
        <w:spacing w:before="0" w:after="0"/>
        <w:ind w:firstLine="567"/>
        <w:contextualSpacing/>
        <w:jc w:val="both"/>
        <w:rPr/>
      </w:pPr>
      <w:r>
        <w:rPr/>
        <w:t>Специалист МФЦ, осуществляющий прием документов:</w:t>
      </w:r>
    </w:p>
    <w:p>
      <w:pPr>
        <w:pStyle w:val="Normal"/>
        <w:spacing w:before="0" w:after="0"/>
        <w:ind w:firstLine="567"/>
        <w:contextualSpacing/>
        <w:jc w:val="both"/>
        <w:rPr/>
      </w:pPr>
      <w:r>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pPr>
        <w:pStyle w:val="Normal"/>
        <w:spacing w:before="0" w:after="0"/>
        <w:ind w:firstLine="567"/>
        <w:contextualSpacing/>
        <w:jc w:val="both"/>
        <w:rPr/>
      </w:pPr>
      <w:r>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pStyle w:val="Normal"/>
        <w:spacing w:before="0" w:after="0"/>
        <w:ind w:firstLine="567"/>
        <w:contextualSpacing/>
        <w:jc w:val="both"/>
        <w:rPr/>
      </w:pPr>
      <w:r>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pStyle w:val="Normal"/>
        <w:spacing w:before="0" w:after="0"/>
        <w:ind w:firstLine="567"/>
        <w:contextualSpacing/>
        <w:jc w:val="both"/>
        <w:rPr/>
      </w:pPr>
      <w:r>
        <w:rPr/>
        <w:t>г) проверяет соответствие представленных документов установленным требованиям;</w:t>
      </w:r>
    </w:p>
    <w:p>
      <w:pPr>
        <w:pStyle w:val="Normal"/>
        <w:spacing w:before="0" w:after="0"/>
        <w:ind w:firstLine="567"/>
        <w:contextualSpacing/>
        <w:jc w:val="both"/>
        <w:rPr/>
      </w:pPr>
      <w:r>
        <w:rPr/>
        <w:t>д) проверяет наличие документа, подтверждающего оплату госпошлины, и других платежных документов;</w:t>
      </w:r>
    </w:p>
    <w:p>
      <w:pPr>
        <w:pStyle w:val="Normal"/>
        <w:spacing w:before="0" w:after="0"/>
        <w:ind w:firstLine="567"/>
        <w:contextualSpacing/>
        <w:jc w:val="both"/>
        <w:rPr/>
      </w:pPr>
      <w:r>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pStyle w:val="Normal"/>
        <w:spacing w:before="0" w:after="0"/>
        <w:ind w:firstLine="567"/>
        <w:contextualSpacing/>
        <w:jc w:val="both"/>
        <w:rPr/>
      </w:pPr>
      <w:r>
        <w:rPr/>
        <w:t>ж) распечатывает бланк заявления и предлагает заявителю собственноручно заполнить его;</w:t>
      </w:r>
    </w:p>
    <w:p>
      <w:pPr>
        <w:pStyle w:val="Normal"/>
        <w:spacing w:before="0" w:after="0"/>
        <w:ind w:firstLine="567"/>
        <w:contextualSpacing/>
        <w:jc w:val="both"/>
        <w:rPr/>
      </w:pPr>
      <w:r>
        <w:rPr/>
        <w:t>з) проверяет полноту оформления заявления;</w:t>
      </w:r>
    </w:p>
    <w:p>
      <w:pPr>
        <w:pStyle w:val="Normal"/>
        <w:spacing w:before="0" w:after="0"/>
        <w:ind w:firstLine="567"/>
        <w:contextualSpacing/>
        <w:jc w:val="both"/>
        <w:rPr/>
      </w:pPr>
      <w:r>
        <w:rPr/>
        <w:t>и) принимает заявление;</w:t>
      </w:r>
    </w:p>
    <w:p>
      <w:pPr>
        <w:pStyle w:val="Normal"/>
        <w:spacing w:before="0" w:after="0"/>
        <w:ind w:firstLine="567"/>
        <w:contextualSpacing/>
        <w:jc w:val="both"/>
        <w:rPr/>
      </w:pPr>
      <w:r>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pPr>
        <w:pStyle w:val="Normal"/>
        <w:spacing w:before="0" w:after="0"/>
        <w:ind w:firstLine="567"/>
        <w:contextualSpacing/>
        <w:jc w:val="both"/>
        <w:rPr/>
      </w:pPr>
      <w:r>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pPr>
        <w:pStyle w:val="Normal"/>
        <w:spacing w:before="0" w:after="0"/>
        <w:ind w:firstLine="567"/>
        <w:contextualSpacing/>
        <w:jc w:val="both"/>
        <w:rPr/>
      </w:pPr>
      <w:r>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spacing w:before="0" w:after="0"/>
        <w:ind w:firstLine="567"/>
        <w:contextualSpacing/>
        <w:jc w:val="both"/>
        <w:rPr/>
      </w:pPr>
      <w:r>
        <w:rPr/>
        <w:t>Специалист МФЦ, осуществляющий выдачу документов:</w:t>
      </w:r>
    </w:p>
    <w:p>
      <w:pPr>
        <w:pStyle w:val="Normal"/>
        <w:spacing w:before="0" w:after="0"/>
        <w:ind w:firstLine="567"/>
        <w:contextualSpacing/>
        <w:jc w:val="both"/>
        <w:rPr/>
      </w:pPr>
      <w:r>
        <w:rPr/>
        <w:t>а) устанавливает личность заявителя;</w:t>
      </w:r>
    </w:p>
    <w:p>
      <w:pPr>
        <w:pStyle w:val="Normal"/>
        <w:spacing w:before="0" w:after="0"/>
        <w:ind w:firstLine="567"/>
        <w:contextualSpacing/>
        <w:jc w:val="both"/>
        <w:rPr/>
      </w:pPr>
      <w:r>
        <w:rPr/>
        <w:t>б) знакомит с перечнем и содержанием выдаваемых документов;</w:t>
      </w:r>
    </w:p>
    <w:p>
      <w:pPr>
        <w:pStyle w:val="Normal"/>
        <w:spacing w:before="0" w:after="0"/>
        <w:ind w:firstLine="567"/>
        <w:contextualSpacing/>
        <w:jc w:val="both"/>
        <w:rPr/>
      </w:pPr>
      <w:r>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pPr>
        <w:pStyle w:val="Normal"/>
        <w:spacing w:before="0" w:after="0"/>
        <w:ind w:firstLine="567"/>
        <w:contextualSpacing/>
        <w:jc w:val="both"/>
        <w:rPr/>
      </w:pPr>
      <w:r>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pPr>
        <w:pStyle w:val="Normal"/>
        <w:spacing w:before="0" w:after="0"/>
        <w:ind w:firstLine="567"/>
        <w:contextualSpacing/>
        <w:jc w:val="both"/>
        <w:rPr/>
      </w:pPr>
      <w:r>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pPr>
        <w:pStyle w:val="Normal"/>
        <w:spacing w:before="0" w:after="0"/>
        <w:ind w:firstLine="567"/>
        <w:contextualSpacing/>
        <w:jc w:val="both"/>
        <w:rPr/>
      </w:pPr>
      <w:r>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pPr>
        <w:pStyle w:val="Normal"/>
        <w:spacing w:before="0" w:after="0"/>
        <w:ind w:firstLine="567"/>
        <w:contextualSpacing/>
        <w:jc w:val="both"/>
        <w:rPr/>
      </w:pPr>
      <w:r>
        <w:rPr/>
        <w:t>Выдача документов, в том числе своевременно не полученных заявителем, осуществляется в соответствии с условиями соглашений о взаимодействии.</w:t>
      </w:r>
    </w:p>
    <w:p>
      <w:pPr>
        <w:pStyle w:val="ConsPlusNormal"/>
        <w:numPr>
          <w:ilvl w:val="0"/>
          <w:numId w:val="0"/>
        </w:numPr>
        <w:jc w:val="right"/>
        <w:outlineLvl w:val="1"/>
        <w:rPr>
          <w:rFonts w:ascii="Times New Roman" w:hAnsi="Times New Roman" w:cs="Times New Roman"/>
          <w:sz w:val="24"/>
          <w:szCs w:val="24"/>
        </w:rPr>
      </w:pPr>
      <w:r>
        <w:rPr>
          <w:rFonts w:cs="Times New Roman" w:ascii="Times New Roman" w:hAnsi="Times New Roman"/>
          <w:sz w:val="24"/>
          <w:szCs w:val="24"/>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7371" w:hanging="0"/>
        <w:rPr/>
      </w:pPr>
      <w:r>
        <w:rPr/>
      </w:r>
    </w:p>
    <w:p>
      <w:pPr>
        <w:pStyle w:val="Normal"/>
        <w:ind w:left="6521" w:hanging="0"/>
        <w:rPr/>
      </w:pPr>
      <w:r>
        <w:rPr/>
        <w:t xml:space="preserve">Приложение  </w:t>
      </w:r>
    </w:p>
    <w:p>
      <w:pPr>
        <w:pStyle w:val="Normal"/>
        <w:ind w:left="6521" w:hanging="0"/>
        <w:rPr>
          <w:bCs/>
        </w:rPr>
      </w:pPr>
      <w:r>
        <w:rPr/>
        <w:t xml:space="preserve">к Административному регламенту </w:t>
      </w:r>
      <w:r>
        <w:rPr>
          <w:bCs/>
        </w:rPr>
        <w:t xml:space="preserve"> </w:t>
      </w:r>
    </w:p>
    <w:p>
      <w:pPr>
        <w:pStyle w:val="Normal"/>
        <w:ind w:left="6521" w:hanging="0"/>
        <w:rPr>
          <w:bCs/>
        </w:rPr>
      </w:pPr>
      <w:r>
        <w:rPr>
          <w:bCs/>
        </w:rPr>
      </w:r>
    </w:p>
    <w:p>
      <w:pPr>
        <w:pStyle w:val="ConsPlusTitle"/>
        <w:jc w:val="center"/>
        <w:rPr>
          <w:rFonts w:ascii="Times New Roman" w:hAnsi="Times New Roman" w:cs="Times New Roman"/>
          <w:sz w:val="24"/>
          <w:szCs w:val="24"/>
        </w:rPr>
      </w:pPr>
      <w:r>
        <w:rPr>
          <w:rFonts w:cs="Times New Roman" w:ascii="Times New Roman" w:hAnsi="Times New Roman"/>
          <w:bCs/>
          <w:color w:val="26282F"/>
          <w:sz w:val="24"/>
          <w:szCs w:val="24"/>
        </w:rPr>
        <w:t>ФОРМА</w:t>
        <w:br/>
        <w:t xml:space="preserve">заявления о </w:t>
      </w:r>
      <w:r>
        <w:rPr>
          <w:rFonts w:cs="Times New Roman" w:ascii="Times New Roman" w:hAnsi="Times New Roman"/>
          <w:sz w:val="24"/>
          <w:szCs w:val="24"/>
        </w:rPr>
        <w:t xml:space="preserve">выдаче разрешения на условно разрешенный вид использования </w:t>
      </w:r>
    </w:p>
    <w:p>
      <w:pPr>
        <w:pStyle w:val="ConsPlusTitle"/>
        <w:jc w:val="center"/>
        <w:rPr>
          <w:rFonts w:ascii="Times New Roman" w:hAnsi="Times New Roman" w:cs="Times New Roman"/>
          <w:sz w:val="24"/>
          <w:szCs w:val="24"/>
        </w:rPr>
      </w:pPr>
      <w:r>
        <w:rPr>
          <w:rFonts w:cs="Times New Roman" w:ascii="Times New Roman" w:hAnsi="Times New Roman"/>
          <w:sz w:val="24"/>
          <w:szCs w:val="24"/>
        </w:rPr>
        <w:t>земельного участка или объекта капитального строительства</w:t>
      </w:r>
    </w:p>
    <w:p>
      <w:pPr>
        <w:pStyle w:val="Normal"/>
        <w:tabs>
          <w:tab w:val="clear" w:pos="709"/>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663" w:firstLine="709"/>
        <w:rPr>
          <w:sz w:val="28"/>
          <w:szCs w:val="28"/>
        </w:rPr>
      </w:pPr>
      <w:r>
        <w:rPr>
          <w:sz w:val="28"/>
          <w:szCs w:val="28"/>
        </w:rPr>
      </w:r>
    </w:p>
    <w:p>
      <w:pPr>
        <w:pStyle w:val="Normal"/>
        <w:tabs>
          <w:tab w:val="clear" w:pos="709"/>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663" w:firstLine="709"/>
        <w:rPr>
          <w:sz w:val="28"/>
          <w:szCs w:val="28"/>
        </w:rPr>
      </w:pPr>
      <w:r>
        <w:rPr>
          <w:sz w:val="28"/>
          <w:szCs w:val="28"/>
        </w:rPr>
      </w:r>
    </w:p>
    <w:p>
      <w:pPr>
        <w:pStyle w:val="Normal"/>
        <w:tabs>
          <w:tab w:val="clear" w:pos="709"/>
          <w:tab w:val="left" w:pos="916" w:leader="none"/>
          <w:tab w:val="left" w:pos="1832" w:leader="none"/>
          <w:tab w:val="left" w:pos="2748" w:leader="none"/>
          <w:tab w:val="left" w:pos="3664" w:leader="none"/>
          <w:tab w:val="left" w:pos="5496" w:leader="none"/>
          <w:tab w:val="left" w:pos="6379"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ind w:left="6663" w:firstLine="709"/>
        <w:rPr>
          <w:sz w:val="28"/>
          <w:szCs w:val="28"/>
        </w:rPr>
      </w:pPr>
      <w:r>
        <w:rPr>
          <w:sz w:val="28"/>
          <w:szCs w:val="28"/>
        </w:rPr>
      </w:r>
    </w:p>
    <w:tbl>
      <w:tblPr>
        <w:tblW w:w="10314" w:type="dxa"/>
        <w:jc w:val="left"/>
        <w:tblInd w:w="0" w:type="dxa"/>
        <w:tblCellMar>
          <w:top w:w="0" w:type="dxa"/>
          <w:left w:w="108" w:type="dxa"/>
          <w:bottom w:w="0" w:type="dxa"/>
          <w:right w:w="108" w:type="dxa"/>
        </w:tblCellMar>
        <w:tblLook w:firstRow="1" w:noVBand="1" w:lastRow="0" w:firstColumn="1" w:lastColumn="0" w:noHBand="0" w:val="04a0"/>
      </w:tblPr>
      <w:tblGrid>
        <w:gridCol w:w="10314"/>
      </w:tblGrid>
      <w:tr>
        <w:trPr/>
        <w:tc>
          <w:tcPr>
            <w:tcW w:w="10314" w:type="dxa"/>
            <w:tcBorders/>
          </w:tcPr>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Наименование органа местного самоуправления: 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tc>
      </w:tr>
      <w:tr>
        <w:trPr/>
        <w:tc>
          <w:tcPr>
            <w:tcW w:w="10314" w:type="dxa"/>
            <w:tcBorders/>
          </w:tcPr>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Сведения о заявителе:</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sz w:val="18"/>
                <w:szCs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rPr>
              <w:t>(</w:t>
            </w:r>
            <w:r>
              <w:rPr>
                <w:rFonts w:cs="Times New Roman" w:ascii="Times New Roman" w:hAnsi="Times New Roman"/>
                <w:sz w:val="18"/>
                <w:szCs w:val="18"/>
              </w:rPr>
              <w:t>Ф.И.О. руководителя или иного уполномоченного лица)</w:t>
            </w:r>
          </w:p>
          <w:p>
            <w:pPr>
              <w:pStyle w:val="ConsPlusNonformat"/>
              <w:ind w:left="4395" w:right="34" w:hanging="0"/>
              <w:jc w:val="both"/>
              <w:rPr>
                <w:rFonts w:ascii="Times New Roman" w:hAnsi="Times New Roman" w:cs="Times New Roman"/>
                <w:sz w:val="18"/>
                <w:szCs w:val="18"/>
              </w:rPr>
            </w:pPr>
            <w:r>
              <w:rPr>
                <w:rFonts w:cs="Times New Roman" w:ascii="Times New Roman" w:hAnsi="Times New Roman"/>
                <w:sz w:val="18"/>
                <w:szCs w:val="18"/>
              </w:rPr>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Документ, удостоверяющий личность:</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sz w:val="18"/>
                <w:szCs w:val="18"/>
              </w:rPr>
              <w:t>(вид документа, серия, номер)</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center"/>
              <w:rPr>
                <w:rFonts w:ascii="Times New Roman" w:hAnsi="Times New Roman" w:cs="Times New Roman"/>
                <w:sz w:val="18"/>
                <w:szCs w:val="18"/>
              </w:rPr>
            </w:pPr>
            <w:r>
              <w:rPr>
                <w:rFonts w:cs="Times New Roman" w:ascii="Times New Roman" w:hAnsi="Times New Roman"/>
                <w:sz w:val="18"/>
                <w:szCs w:val="18"/>
              </w:rPr>
              <w:t>(кем, когда выдан) - для физических лиц</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Сведения о государственной регистрации юридического лица (индивидуального предпринимателя):</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ОГРН (ОГРНИП) 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ИНН 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Контактная информация:</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тел. 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эл. почта 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адрес места нахождения (регистрации):</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t>__________________________________________________________________________________________</w:t>
            </w:r>
          </w:p>
          <w:p>
            <w:pPr>
              <w:pStyle w:val="ConsPlusNonformat"/>
              <w:ind w:left="4395" w:right="34" w:hanging="0"/>
              <w:jc w:val="both"/>
              <w:rPr>
                <w:rFonts w:ascii="Times New Roman" w:hAnsi="Times New Roman" w:cs="Times New Roman"/>
                <w:sz w:val="24"/>
                <w:szCs w:val="24"/>
              </w:rPr>
            </w:pPr>
            <w:r>
              <w:rPr>
                <w:rFonts w:cs="Times New Roman" w:ascii="Times New Roman" w:hAnsi="Times New Roman"/>
                <w:sz w:val="24"/>
                <w:szCs w:val="24"/>
              </w:rPr>
            </w:r>
          </w:p>
        </w:tc>
      </w:tr>
    </w:tbl>
    <w:p>
      <w:pPr>
        <w:pStyle w:val="Normal"/>
        <w:rPr/>
      </w:pPr>
      <w:r>
        <w:rPr/>
      </w:r>
    </w:p>
    <w:p>
      <w:pPr>
        <w:pStyle w:val="Normal"/>
        <w:ind w:firstLine="708"/>
        <w:jc w:val="both"/>
        <w:rPr/>
      </w:pPr>
      <w:r>
        <w:rPr/>
      </w:r>
    </w:p>
    <w:p>
      <w:pPr>
        <w:pStyle w:val="Normal"/>
        <w:ind w:firstLine="708"/>
        <w:jc w:val="center"/>
        <w:rPr/>
      </w:pPr>
      <w:r>
        <w:rPr/>
        <w:t>Заявление</w:t>
      </w:r>
    </w:p>
    <w:p>
      <w:pPr>
        <w:pStyle w:val="Normal"/>
        <w:ind w:firstLine="708"/>
        <w:jc w:val="center"/>
        <w:rPr/>
      </w:pPr>
      <w:r>
        <w:rPr/>
        <w:t>о принятии решения на условно разрешенный вид использования земельного участка или объекта капитального строительства</w:t>
      </w:r>
    </w:p>
    <w:p>
      <w:pPr>
        <w:pStyle w:val="Normal"/>
        <w:ind w:firstLine="708"/>
        <w:jc w:val="both"/>
        <w:rPr/>
      </w:pPr>
      <w:r>
        <w:rPr/>
      </w:r>
    </w:p>
    <w:p>
      <w:pPr>
        <w:pStyle w:val="Normal"/>
        <w:ind w:firstLine="708"/>
        <w:rPr/>
      </w:pPr>
      <w:r>
        <w:rPr>
          <w:rFonts w:cs="Times New Roman CYR" w:ascii="Times New Roman CYR" w:hAnsi="Times New Roman CYR"/>
          <w:lang w:eastAsia="en-US"/>
        </w:rPr>
        <w:t>В соответствии со статьей 39 Градостроительного кодекса Российской Федерации прошу выдать разрешение на</w:t>
      </w:r>
      <w:r>
        <w:rPr/>
        <w:t xml:space="preserve"> условно разрешенный вид использования земельного участка и/или объекта капитального строительства:</w:t>
      </w:r>
    </w:p>
    <w:p>
      <w:pPr>
        <w:pStyle w:val="Normal"/>
        <w:ind w:firstLine="708"/>
        <w:rPr/>
      </w:pPr>
      <w:r>
        <w:rPr/>
      </w:r>
    </w:p>
    <w:tbl>
      <w:tblPr>
        <w:tblW w:w="9425" w:type="dxa"/>
        <w:jc w:val="left"/>
        <w:tblInd w:w="0" w:type="dxa"/>
        <w:tblCellMar>
          <w:top w:w="0" w:type="dxa"/>
          <w:left w:w="0" w:type="dxa"/>
          <w:bottom w:w="0" w:type="dxa"/>
          <w:right w:w="0" w:type="dxa"/>
        </w:tblCellMar>
        <w:tblLook w:firstRow="1" w:noVBand="1" w:lastRow="0" w:firstColumn="1" w:lastColumn="0" w:noHBand="0" w:val="04a0"/>
      </w:tblPr>
      <w:tblGrid>
        <w:gridCol w:w="6282"/>
        <w:gridCol w:w="3142"/>
      </w:tblGrid>
      <w:tr>
        <w:trPr>
          <w:trHeight w:val="15" w:hRule="exact"/>
        </w:trPr>
        <w:tc>
          <w:tcPr>
            <w:tcW w:w="6282" w:type="dxa"/>
            <w:tcBorders/>
          </w:tcPr>
          <w:p>
            <w:pPr>
              <w:pStyle w:val="Normal"/>
              <w:ind w:firstLine="708"/>
              <w:rPr/>
            </w:pPr>
            <w:r>
              <w:rPr/>
            </w:r>
          </w:p>
        </w:tc>
        <w:tc>
          <w:tcPr>
            <w:tcW w:w="3142" w:type="dxa"/>
            <w:tcBorders/>
          </w:tcPr>
          <w:p>
            <w:pPr>
              <w:pStyle w:val="Normal"/>
              <w:ind w:firstLine="708"/>
              <w:rPr/>
            </w:pPr>
            <w:r>
              <w:rPr/>
            </w:r>
          </w:p>
        </w:tc>
      </w:tr>
      <w:tr>
        <w:trPr/>
        <w:tc>
          <w:tcPr>
            <w:tcW w:w="628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t>Правообладатель земельного участка и/или объекта капитального строительства</w:t>
            </w:r>
          </w:p>
        </w:tc>
        <w:tc>
          <w:tcPr>
            <w:tcW w:w="314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r>
          </w:p>
        </w:tc>
      </w:tr>
      <w:tr>
        <w:trPr/>
        <w:tc>
          <w:tcPr>
            <w:tcW w:w="628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t>Местоположение (адрес) земельного участка и/или объекта капитального строительства</w:t>
            </w:r>
          </w:p>
        </w:tc>
        <w:tc>
          <w:tcPr>
            <w:tcW w:w="314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r>
          </w:p>
        </w:tc>
      </w:tr>
      <w:tr>
        <w:trPr/>
        <w:tc>
          <w:tcPr>
            <w:tcW w:w="628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t>Кадастровый номер земельного участка</w:t>
            </w:r>
          </w:p>
        </w:tc>
        <w:tc>
          <w:tcPr>
            <w:tcW w:w="314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r>
          </w:p>
        </w:tc>
      </w:tr>
      <w:tr>
        <w:trPr/>
        <w:tc>
          <w:tcPr>
            <w:tcW w:w="628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t>Кадастровый номер объекта капитального строительства</w:t>
            </w:r>
          </w:p>
        </w:tc>
        <w:tc>
          <w:tcPr>
            <w:tcW w:w="314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r>
          </w:p>
        </w:tc>
      </w:tr>
      <w:tr>
        <w:trPr/>
        <w:tc>
          <w:tcPr>
            <w:tcW w:w="628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t>Вид разрешенного использования земельного участка и/или объекта капитального строительства</w:t>
            </w:r>
          </w:p>
        </w:tc>
        <w:tc>
          <w:tcPr>
            <w:tcW w:w="314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r>
          </w:p>
        </w:tc>
      </w:tr>
      <w:tr>
        <w:trPr/>
        <w:tc>
          <w:tcPr>
            <w:tcW w:w="628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t>Запрашиваемый вид разрешенного использования земельного участка и/или объекта капитального строительства</w:t>
            </w:r>
          </w:p>
        </w:tc>
        <w:tc>
          <w:tcPr>
            <w:tcW w:w="3142" w:type="dxa"/>
            <w:tcBorders>
              <w:top w:val="single" w:sz="6" w:space="0" w:color="000000"/>
              <w:left w:val="single" w:sz="6" w:space="0" w:color="000000"/>
              <w:bottom w:val="single" w:sz="6" w:space="0" w:color="000000"/>
              <w:right w:val="single" w:sz="6" w:space="0" w:color="000000"/>
            </w:tcBorders>
            <w:tcMar>
              <w:left w:w="149" w:type="dxa"/>
              <w:right w:w="149" w:type="dxa"/>
            </w:tcMar>
          </w:tcPr>
          <w:p>
            <w:pPr>
              <w:pStyle w:val="Normal"/>
              <w:ind w:firstLine="708"/>
              <w:rPr/>
            </w:pPr>
            <w:r>
              <w:rPr/>
            </w:r>
          </w:p>
        </w:tc>
      </w:tr>
    </w:tbl>
    <w:p>
      <w:pPr>
        <w:pStyle w:val="Normal"/>
        <w:jc w:val="both"/>
        <w:rPr/>
      </w:pPr>
      <w:r>
        <w:rPr/>
        <w:br/>
        <w:t>Оплату  расходов,  связанных с проведением процедуры публичных слушаний (аренда  помещения  для  проведения  публичных  слушаний, оплата публикаций информационного  сообщения  о  проведении публичных слушаний и заключения о результатах  публичных слушаний, изготовление информационных материалов для проведения экспозиции проектов), гарантирую(ем).</w:t>
      </w:r>
    </w:p>
    <w:p>
      <w:pPr>
        <w:pStyle w:val="Normal"/>
        <w:ind w:firstLine="708"/>
        <w:rPr/>
      </w:pPr>
      <w:r>
        <w:rPr/>
        <w:br/>
        <w:t>К заявлению прилагаются: __________________________________________________</w:t>
      </w:r>
    </w:p>
    <w:p>
      <w:pPr>
        <w:pStyle w:val="Normal"/>
        <w:ind w:firstLine="708"/>
        <w:rPr/>
      </w:pPr>
      <w:r>
        <w:rPr/>
        <w:t>                         </w:t>
      </w:r>
      <w:r>
        <w:rPr/>
        <w:t>(наименование документов и количество экземпляров)</w:t>
      </w:r>
    </w:p>
    <w:p>
      <w:pPr>
        <w:pStyle w:val="Normal"/>
        <w:widowControl w:val="false"/>
        <w:jc w:val="both"/>
        <w:rPr/>
      </w:pPr>
      <w:r>
        <w:rPr/>
        <w:t>Приложение: опись прилагаемых к заявлению документов на ____ листах.</w:t>
      </w:r>
    </w:p>
    <w:p>
      <w:pPr>
        <w:pStyle w:val="Normal"/>
        <w:widowControl w:val="false"/>
        <w:jc w:val="both"/>
        <w:rPr/>
      </w:pPr>
      <w:r>
        <w:rPr/>
      </w:r>
    </w:p>
    <w:p>
      <w:pPr>
        <w:pStyle w:val="Normal"/>
        <w:widowControl w:val="false"/>
        <w:jc w:val="both"/>
        <w:rPr/>
      </w:pPr>
      <w:r>
        <w:rPr/>
      </w:r>
    </w:p>
    <w:p>
      <w:pPr>
        <w:pStyle w:val="Normal"/>
        <w:ind w:firstLine="708"/>
        <w:jc w:val="both"/>
        <w:rPr/>
      </w:pPr>
      <w:r>
        <w:rPr/>
        <w:t>Заявитель:</w:t>
      </w:r>
    </w:p>
    <w:tbl>
      <w:tblPr>
        <w:tblW w:w="9997" w:type="dxa"/>
        <w:jc w:val="left"/>
        <w:tblInd w:w="0" w:type="dxa"/>
        <w:tblCellMar>
          <w:top w:w="0" w:type="dxa"/>
          <w:left w:w="108" w:type="dxa"/>
          <w:bottom w:w="0" w:type="dxa"/>
          <w:right w:w="108" w:type="dxa"/>
        </w:tblCellMar>
        <w:tblLook w:firstRow="1" w:noVBand="1" w:lastRow="0" w:firstColumn="1" w:lastColumn="0" w:noHBand="0" w:val="04a0"/>
      </w:tblPr>
      <w:tblGrid>
        <w:gridCol w:w="3508"/>
        <w:gridCol w:w="411"/>
        <w:gridCol w:w="2449"/>
        <w:gridCol w:w="542"/>
        <w:gridCol w:w="3087"/>
      </w:tblGrid>
      <w:tr>
        <w:trPr/>
        <w:tc>
          <w:tcPr>
            <w:tcW w:w="3508" w:type="dxa"/>
            <w:tcBorders>
              <w:bottom w:val="single" w:sz="4" w:space="0" w:color="000000"/>
            </w:tcBorders>
            <w:shd w:color="auto" w:fill="auto" w:val="clear"/>
          </w:tcPr>
          <w:p>
            <w:pPr>
              <w:pStyle w:val="Normal"/>
              <w:jc w:val="both"/>
              <w:rPr>
                <w:sz w:val="28"/>
                <w:szCs w:val="28"/>
              </w:rPr>
            </w:pPr>
            <w:r>
              <w:rPr>
                <w:sz w:val="28"/>
                <w:szCs w:val="28"/>
              </w:rPr>
            </w:r>
          </w:p>
        </w:tc>
        <w:tc>
          <w:tcPr>
            <w:tcW w:w="411" w:type="dxa"/>
            <w:tcBorders/>
            <w:shd w:color="auto" w:fill="auto" w:val="clear"/>
          </w:tcPr>
          <w:p>
            <w:pPr>
              <w:pStyle w:val="Normal"/>
              <w:jc w:val="both"/>
              <w:rPr>
                <w:sz w:val="28"/>
                <w:szCs w:val="28"/>
              </w:rPr>
            </w:pPr>
            <w:r>
              <w:rPr>
                <w:sz w:val="28"/>
                <w:szCs w:val="28"/>
              </w:rPr>
            </w:r>
          </w:p>
        </w:tc>
        <w:tc>
          <w:tcPr>
            <w:tcW w:w="2449" w:type="dxa"/>
            <w:tcBorders>
              <w:bottom w:val="single" w:sz="4" w:space="0" w:color="000000"/>
            </w:tcBorders>
            <w:shd w:color="auto" w:fill="auto" w:val="clear"/>
          </w:tcPr>
          <w:p>
            <w:pPr>
              <w:pStyle w:val="Normal"/>
              <w:jc w:val="both"/>
              <w:rPr>
                <w:sz w:val="28"/>
                <w:szCs w:val="28"/>
              </w:rPr>
            </w:pPr>
            <w:r>
              <w:rPr>
                <w:sz w:val="28"/>
                <w:szCs w:val="28"/>
              </w:rPr>
            </w:r>
          </w:p>
        </w:tc>
        <w:tc>
          <w:tcPr>
            <w:tcW w:w="542" w:type="dxa"/>
            <w:tcBorders/>
            <w:shd w:color="auto" w:fill="auto" w:val="clear"/>
          </w:tcPr>
          <w:p>
            <w:pPr>
              <w:pStyle w:val="Normal"/>
              <w:jc w:val="both"/>
              <w:rPr>
                <w:sz w:val="28"/>
                <w:szCs w:val="28"/>
              </w:rPr>
            </w:pPr>
            <w:r>
              <w:rPr>
                <w:sz w:val="28"/>
                <w:szCs w:val="28"/>
              </w:rPr>
            </w:r>
          </w:p>
        </w:tc>
        <w:tc>
          <w:tcPr>
            <w:tcW w:w="3087" w:type="dxa"/>
            <w:tcBorders>
              <w:bottom w:val="single" w:sz="4" w:space="0" w:color="000000"/>
            </w:tcBorders>
            <w:shd w:color="auto" w:fill="auto" w:val="clear"/>
          </w:tcPr>
          <w:p>
            <w:pPr>
              <w:pStyle w:val="Normal"/>
              <w:jc w:val="both"/>
              <w:rPr>
                <w:sz w:val="28"/>
                <w:szCs w:val="28"/>
              </w:rPr>
            </w:pPr>
            <w:r>
              <w:rPr>
                <w:sz w:val="28"/>
                <w:szCs w:val="28"/>
              </w:rPr>
            </w:r>
          </w:p>
        </w:tc>
      </w:tr>
      <w:tr>
        <w:trPr/>
        <w:tc>
          <w:tcPr>
            <w:tcW w:w="3508" w:type="dxa"/>
            <w:tcBorders>
              <w:top w:val="single" w:sz="4" w:space="0" w:color="000000"/>
            </w:tcBorders>
            <w:shd w:color="auto" w:fill="auto" w:val="clear"/>
          </w:tcPr>
          <w:p>
            <w:pPr>
              <w:pStyle w:val="Normal"/>
              <w:jc w:val="center"/>
              <w:rPr>
                <w:sz w:val="20"/>
                <w:szCs w:val="20"/>
              </w:rPr>
            </w:pPr>
            <w:r>
              <w:rPr>
                <w:sz w:val="20"/>
                <w:szCs w:val="20"/>
              </w:rPr>
              <w:t>(наименование должности руководителя для юридического лица)</w:t>
            </w:r>
          </w:p>
        </w:tc>
        <w:tc>
          <w:tcPr>
            <w:tcW w:w="411" w:type="dxa"/>
            <w:tcBorders/>
            <w:shd w:color="auto" w:fill="auto" w:val="clear"/>
          </w:tcPr>
          <w:p>
            <w:pPr>
              <w:pStyle w:val="Normal"/>
              <w:jc w:val="center"/>
              <w:rPr>
                <w:sz w:val="20"/>
                <w:szCs w:val="20"/>
              </w:rPr>
            </w:pPr>
            <w:r>
              <w:rPr>
                <w:sz w:val="20"/>
                <w:szCs w:val="20"/>
              </w:rPr>
            </w:r>
          </w:p>
        </w:tc>
        <w:tc>
          <w:tcPr>
            <w:tcW w:w="2449" w:type="dxa"/>
            <w:tcBorders>
              <w:top w:val="single" w:sz="4" w:space="0" w:color="000000"/>
            </w:tcBorders>
            <w:shd w:color="auto" w:fill="auto" w:val="clear"/>
          </w:tcPr>
          <w:p>
            <w:pPr>
              <w:pStyle w:val="Normal"/>
              <w:jc w:val="center"/>
              <w:rPr>
                <w:sz w:val="20"/>
                <w:szCs w:val="20"/>
              </w:rPr>
            </w:pPr>
            <w:r>
              <w:rPr>
                <w:sz w:val="20"/>
                <w:szCs w:val="20"/>
              </w:rPr>
              <w:t>(личная подпись)</w:t>
            </w:r>
          </w:p>
        </w:tc>
        <w:tc>
          <w:tcPr>
            <w:tcW w:w="542" w:type="dxa"/>
            <w:tcBorders/>
            <w:shd w:color="auto" w:fill="auto" w:val="clear"/>
          </w:tcPr>
          <w:p>
            <w:pPr>
              <w:pStyle w:val="Normal"/>
              <w:jc w:val="center"/>
              <w:rPr>
                <w:sz w:val="20"/>
                <w:szCs w:val="20"/>
              </w:rPr>
            </w:pPr>
            <w:r>
              <w:rPr>
                <w:sz w:val="20"/>
                <w:szCs w:val="20"/>
              </w:rPr>
            </w:r>
          </w:p>
        </w:tc>
        <w:tc>
          <w:tcPr>
            <w:tcW w:w="3087" w:type="dxa"/>
            <w:tcBorders>
              <w:top w:val="single" w:sz="4" w:space="0" w:color="000000"/>
            </w:tcBorders>
            <w:shd w:color="auto" w:fill="auto" w:val="clear"/>
          </w:tcPr>
          <w:p>
            <w:pPr>
              <w:pStyle w:val="Normal"/>
              <w:jc w:val="center"/>
              <w:rPr>
                <w:sz w:val="20"/>
                <w:szCs w:val="20"/>
              </w:rPr>
            </w:pPr>
            <w:r>
              <w:rPr>
                <w:sz w:val="20"/>
                <w:szCs w:val="20"/>
              </w:rPr>
              <w:t>(фамилия и инициалы)</w:t>
            </w:r>
          </w:p>
        </w:tc>
      </w:tr>
    </w:tbl>
    <w:p>
      <w:pPr>
        <w:pStyle w:val="Normal"/>
        <w:jc w:val="both"/>
        <w:rPr>
          <w:sz w:val="28"/>
          <w:szCs w:val="28"/>
        </w:rPr>
      </w:pPr>
      <w:r>
        <w:rPr>
          <w:sz w:val="28"/>
          <w:szCs w:val="28"/>
        </w:rPr>
        <w:t xml:space="preserve">          </w:t>
      </w:r>
      <w:r>
        <w:rPr>
          <w:sz w:val="28"/>
          <w:szCs w:val="28"/>
        </w:rPr>
        <w:t xml:space="preserve">М.П. </w:t>
      </w:r>
    </w:p>
    <w:p>
      <w:pPr>
        <w:pStyle w:val="Normal"/>
        <w:jc w:val="both"/>
        <w:rPr/>
      </w:pPr>
      <w:r>
        <w:rPr>
          <w:sz w:val="20"/>
          <w:szCs w:val="20"/>
        </w:rPr>
        <w:t>(для юридического лица)</w:t>
        <w:tab/>
      </w:r>
      <w:r>
        <w:rPr>
          <w:sz w:val="28"/>
          <w:szCs w:val="28"/>
        </w:rPr>
        <w:tab/>
        <w:tab/>
        <w:t xml:space="preserve">    </w:t>
        <w:tab/>
        <w:tab/>
      </w:r>
      <w:r>
        <w:rPr/>
        <w:t xml:space="preserve">«____» ___________ 20___ г.   </w:t>
      </w:r>
    </w:p>
    <w:p>
      <w:pPr>
        <w:pStyle w:val="Normal"/>
        <w:jc w:val="both"/>
        <w:rPr>
          <w:sz w:val="28"/>
          <w:szCs w:val="28"/>
        </w:rPr>
      </w:pPr>
      <w:r>
        <w:rPr>
          <w:sz w:val="28"/>
          <w:szCs w:val="28"/>
        </w:rPr>
      </w:r>
    </w:p>
    <w:p>
      <w:pPr>
        <w:pStyle w:val="Normal"/>
        <w:jc w:val="both"/>
        <w:rPr>
          <w:sz w:val="28"/>
          <w:szCs w:val="28"/>
        </w:rPr>
      </w:pPr>
      <w:r>
        <w:rPr>
          <w:sz w:val="28"/>
          <w:szCs w:val="28"/>
        </w:rPr>
        <w:t xml:space="preserve">    </w:t>
      </w:r>
    </w:p>
    <w:p>
      <w:pPr>
        <w:pStyle w:val="Normal"/>
        <w:jc w:val="both"/>
        <w:rPr/>
      </w:pPr>
      <w:r>
        <w:rPr/>
        <w:t>Должностное лицо,</w:t>
      </w:r>
    </w:p>
    <w:p>
      <w:pPr>
        <w:pStyle w:val="ConsPlusNormal"/>
        <w:numPr>
          <w:ilvl w:val="0"/>
          <w:numId w:val="0"/>
        </w:numPr>
        <w:jc w:val="both"/>
        <w:outlineLvl w:val="1"/>
        <w:rPr>
          <w:rFonts w:ascii="Times New Roman" w:hAnsi="Times New Roman" w:cs="Times New Roman"/>
          <w:sz w:val="24"/>
          <w:szCs w:val="24"/>
        </w:rPr>
      </w:pPr>
      <w:r>
        <w:rPr>
          <w:rFonts w:cs="Times New Roman" w:ascii="Times New Roman" w:hAnsi="Times New Roman"/>
          <w:sz w:val="24"/>
          <w:szCs w:val="24"/>
        </w:rPr>
        <w:t xml:space="preserve">принявшее документы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______________________________________                      _________________</w:t>
      </w:r>
    </w:p>
    <w:p>
      <w:pPr>
        <w:pStyle w:val="ConsPlusNormal"/>
        <w:numPr>
          <w:ilvl w:val="0"/>
          <w:numId w:val="0"/>
        </w:numPr>
        <w:outlineLvl w:val="1"/>
        <w:rPr>
          <w:rFonts w:ascii="Times New Roman" w:hAnsi="Times New Roman" w:cs="Times New Roman"/>
          <w:sz w:val="20"/>
        </w:rPr>
      </w:pPr>
      <w:r>
        <w:rPr>
          <w:rFonts w:cs="Times New Roman" w:ascii="Times New Roman" w:hAnsi="Times New Roman"/>
          <w:szCs w:val="22"/>
        </w:rPr>
        <w:t xml:space="preserve">                             </w:t>
      </w:r>
      <w:r>
        <w:rPr>
          <w:rFonts w:cs="Times New Roman" w:ascii="Times New Roman" w:hAnsi="Times New Roman"/>
          <w:sz w:val="20"/>
        </w:rPr>
        <w:t xml:space="preserve">(фамилия и инициалы)                                                                                            (подпись)                         </w:t>
        <w:tab/>
      </w:r>
    </w:p>
    <w:p>
      <w:pPr>
        <w:pStyle w:val="Normal"/>
        <w:spacing w:before="0" w:after="0"/>
        <w:ind w:firstLine="426"/>
        <w:contextualSpacing/>
        <w:jc w:val="both"/>
        <w:rPr>
          <w:sz w:val="28"/>
          <w:szCs w:val="28"/>
        </w:rPr>
      </w:pPr>
      <w:r>
        <w:rPr>
          <w:sz w:val="28"/>
          <w:szCs w:val="28"/>
        </w:rPr>
        <w:t xml:space="preserve">    </w:t>
      </w:r>
      <w:r>
        <w:rPr>
          <w:sz w:val="28"/>
          <w:szCs w:val="28"/>
        </w:rPr>
        <w:t>2.  Результат  услуги прошу предоставить мне/представителю (при наличии</w:t>
      </w:r>
    </w:p>
    <w:p>
      <w:pPr>
        <w:pStyle w:val="Normal"/>
        <w:spacing w:before="0" w:after="0"/>
        <w:contextualSpacing/>
        <w:jc w:val="both"/>
        <w:rPr>
          <w:sz w:val="28"/>
          <w:szCs w:val="28"/>
        </w:rPr>
      </w:pPr>
      <w:r>
        <w:rPr>
          <w:sz w:val="28"/>
          <w:szCs w:val="28"/>
        </w:rPr>
        <w:t>доверенности) в виде:</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электронного  документа, подписанного уполномоченным должностным</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лицом  с  использованием квалифицированной электронной подписи (посредством</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направления в личный кабинет интернет-портала www.gosuslugi.ru);</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документа на бумажном носителе в МФЦ.</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sz w:val="28"/>
          <w:szCs w:val="28"/>
        </w:rPr>
      </w:pPr>
      <w:r>
        <w:rPr>
          <w:rFonts w:cs="Courier New" w:ascii="Courier New" w:hAnsi="Courier New"/>
          <w:sz w:val="20"/>
          <w:szCs w:val="20"/>
        </w:rPr>
        <w:t xml:space="preserve">    </w:t>
      </w:r>
      <w:r>
        <w:rPr>
          <w:rFonts w:cs="Courier New" w:ascii="Courier New" w:hAnsi="Courier New"/>
          <w:sz w:val="20"/>
          <w:szCs w:val="20"/>
        </w:rPr>
        <w:t xml:space="preserve">3.  </w:t>
      </w:r>
      <w:r>
        <w:rPr>
          <w:sz w:val="28"/>
          <w:szCs w:val="28"/>
        </w:rPr>
        <w:t>В  целях  регистрации  и  (или)  дальнейшего  информирования о ходе</w:t>
      </w:r>
    </w:p>
    <w:p>
      <w:pPr>
        <w:pStyle w:val="Normal"/>
        <w:spacing w:before="0" w:after="0"/>
        <w:contextualSpacing/>
        <w:jc w:val="both"/>
        <w:rPr>
          <w:sz w:val="28"/>
          <w:szCs w:val="28"/>
        </w:rPr>
      </w:pPr>
      <w:r>
        <w:rPr>
          <w:sz w:val="28"/>
          <w:szCs w:val="28"/>
        </w:rPr>
        <w:t>исполнения услуги (получения результата услуги) прошу:</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произвести регистрацию на интернет-портале www.gosuslugi.ru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восстановить доступ на интернет-портале www.gosuslugi.ru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r>
        <w:rPr>
          <w:rFonts w:cs="Courier New" w:ascii="Courier New" w:hAnsi="Courier New"/>
          <w:sz w:val="20"/>
          <w:szCs w:val="20"/>
        </w:rPr>
        <w:t>подтвердить    регистрацию    учетной   записи   на  интернет-портале</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www.gosuslugi.ru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0"/>
        <w:contextualSpacing/>
        <w:jc w:val="both"/>
        <w:rPr>
          <w:sz w:val="28"/>
          <w:szCs w:val="28"/>
        </w:rPr>
      </w:pPr>
      <w:r>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СНИЛС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номер мобильного телефона в федеральном формате:</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e-mail ________________________ (если имеется)</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гражданство - Российская Федерация/________________________________________</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(наименование иностранного государства)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В случае, если документ, удостоверяющий личность, - паспорт гражданина РФ:</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серия, номер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кем выдан - _______________________________________________________________</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выдачи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код подразделения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рождения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место рождения - __________________________________________________________</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В  случае,  если  документ,  удостоверяющий  личность, - паспорт гражданина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иностранного государства: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выдачи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дата окончания срока действия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spacing w:before="0" w:after="0"/>
        <w:contextualSpacing/>
        <w:jc w:val="both"/>
        <w:rPr>
          <w:sz w:val="28"/>
          <w:szCs w:val="28"/>
        </w:rPr>
      </w:pPr>
      <w:r>
        <w:rPr>
          <w:sz w:val="28"/>
          <w:szCs w:val="28"/>
        </w:rPr>
        <w:t xml:space="preserve">    </w:t>
      </w:r>
      <w:r>
        <w:rPr>
          <w:sz w:val="28"/>
          <w:szCs w:val="28"/>
        </w:rPr>
        <w:t>4.  Прошу  информировать  меня  о  ходе  исполнения  услуги  (получения</w:t>
      </w:r>
    </w:p>
    <w:p>
      <w:pPr>
        <w:pStyle w:val="Normal"/>
        <w:spacing w:before="0" w:after="0"/>
        <w:contextualSpacing/>
        <w:jc w:val="both"/>
        <w:rPr>
          <w:sz w:val="28"/>
          <w:szCs w:val="28"/>
        </w:rPr>
      </w:pPr>
      <w:r>
        <w:rPr>
          <w:sz w:val="28"/>
          <w:szCs w:val="28"/>
        </w:rPr>
        <w:t>результата   услуги)   через   единый   личный   кабинет   интернет-портала</w:t>
      </w:r>
    </w:p>
    <w:p>
      <w:pPr>
        <w:pStyle w:val="Normal"/>
        <w:spacing w:before="0" w:after="0"/>
        <w:contextualSpacing/>
        <w:jc w:val="both"/>
        <w:rPr>
          <w:sz w:val="28"/>
          <w:szCs w:val="28"/>
        </w:rPr>
      </w:pPr>
      <w:r>
        <w:rPr>
          <w:sz w:val="28"/>
          <w:szCs w:val="28"/>
        </w:rPr>
        <w:t>www.gosuslugi.ru     (для     заявителей,    зарегистрированных   в   ЕСИА)</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СНИЛС │   ││   ││   │-│   ││   ││   │-│   ││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w:t>
      </w:r>
      <w:r>
        <w:rPr>
          <w:rFonts w:cs="Courier New" w:ascii="Courier New" w:hAnsi="Courier New"/>
          <w:sz w:val="20"/>
          <w:szCs w:val="20"/>
        </w:rPr>
        <w:t>(отметьте только один вариант)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 </w:t>
      </w:r>
      <w:r>
        <w:rPr>
          <w:rFonts w:cs="Courier New" w:ascii="Courier New" w:hAnsi="Courier New"/>
          <w:sz w:val="20"/>
          <w:szCs w:val="20"/>
        </w:rPr>
        <w:t>ДА             │   │ НЕТ</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t xml:space="preserve">    └───┘                └───┘</w:t>
      </w:r>
    </w:p>
    <w:p>
      <w:pPr>
        <w:pStyle w:val="Normal"/>
        <w:spacing w:before="0" w:after="0"/>
        <w:contextualSpacing/>
        <w:jc w:val="both"/>
        <w:rPr>
          <w:rFonts w:ascii="Courier New" w:hAnsi="Courier New" w:cs="Courier New"/>
          <w:sz w:val="20"/>
          <w:szCs w:val="20"/>
        </w:rPr>
      </w:pPr>
      <w:r>
        <w:rPr>
          <w:rFonts w:cs="Courier New" w:ascii="Courier New" w:hAnsi="Courier New"/>
          <w:sz w:val="20"/>
          <w:szCs w:val="20"/>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r>
    </w:p>
    <w:p>
      <w:pPr>
        <w:pStyle w:val="Normal"/>
        <w:ind w:firstLine="708"/>
        <w:jc w:val="both"/>
        <w:rPr>
          <w:sz w:val="28"/>
          <w:szCs w:val="28"/>
        </w:rPr>
      </w:pPr>
      <w:r>
        <w:rPr>
          <w:sz w:val="28"/>
          <w:szCs w:val="28"/>
        </w:rPr>
        <w:t>Заявитель:</w:t>
      </w:r>
    </w:p>
    <w:tbl>
      <w:tblPr>
        <w:tblW w:w="9997" w:type="dxa"/>
        <w:jc w:val="left"/>
        <w:tblInd w:w="0" w:type="dxa"/>
        <w:tblCellMar>
          <w:top w:w="0" w:type="dxa"/>
          <w:left w:w="108" w:type="dxa"/>
          <w:bottom w:w="0" w:type="dxa"/>
          <w:right w:w="108" w:type="dxa"/>
        </w:tblCellMar>
        <w:tblLook w:firstRow="1" w:noVBand="1" w:lastRow="0" w:firstColumn="1" w:lastColumn="0" w:noHBand="0" w:val="04a0"/>
      </w:tblPr>
      <w:tblGrid>
        <w:gridCol w:w="3508"/>
        <w:gridCol w:w="411"/>
        <w:gridCol w:w="2449"/>
        <w:gridCol w:w="542"/>
        <w:gridCol w:w="3087"/>
      </w:tblGrid>
      <w:tr>
        <w:trPr/>
        <w:tc>
          <w:tcPr>
            <w:tcW w:w="3508" w:type="dxa"/>
            <w:tcBorders>
              <w:bottom w:val="single" w:sz="4" w:space="0" w:color="000000"/>
            </w:tcBorders>
            <w:shd w:color="auto" w:fill="auto" w:val="clear"/>
          </w:tcPr>
          <w:p>
            <w:pPr>
              <w:pStyle w:val="Normal"/>
              <w:jc w:val="both"/>
              <w:rPr>
                <w:sz w:val="28"/>
                <w:szCs w:val="28"/>
              </w:rPr>
            </w:pPr>
            <w:r>
              <w:rPr>
                <w:sz w:val="28"/>
                <w:szCs w:val="28"/>
              </w:rPr>
            </w:r>
          </w:p>
        </w:tc>
        <w:tc>
          <w:tcPr>
            <w:tcW w:w="411" w:type="dxa"/>
            <w:tcBorders/>
            <w:shd w:color="auto" w:fill="auto" w:val="clear"/>
          </w:tcPr>
          <w:p>
            <w:pPr>
              <w:pStyle w:val="Normal"/>
              <w:jc w:val="both"/>
              <w:rPr>
                <w:sz w:val="28"/>
                <w:szCs w:val="28"/>
              </w:rPr>
            </w:pPr>
            <w:r>
              <w:rPr>
                <w:sz w:val="28"/>
                <w:szCs w:val="28"/>
              </w:rPr>
            </w:r>
          </w:p>
        </w:tc>
        <w:tc>
          <w:tcPr>
            <w:tcW w:w="2449" w:type="dxa"/>
            <w:tcBorders>
              <w:bottom w:val="single" w:sz="4" w:space="0" w:color="000000"/>
            </w:tcBorders>
            <w:shd w:color="auto" w:fill="auto" w:val="clear"/>
          </w:tcPr>
          <w:p>
            <w:pPr>
              <w:pStyle w:val="Normal"/>
              <w:jc w:val="both"/>
              <w:rPr>
                <w:sz w:val="28"/>
                <w:szCs w:val="28"/>
              </w:rPr>
            </w:pPr>
            <w:r>
              <w:rPr>
                <w:sz w:val="28"/>
                <w:szCs w:val="28"/>
              </w:rPr>
            </w:r>
          </w:p>
        </w:tc>
        <w:tc>
          <w:tcPr>
            <w:tcW w:w="542" w:type="dxa"/>
            <w:tcBorders/>
            <w:shd w:color="auto" w:fill="auto" w:val="clear"/>
          </w:tcPr>
          <w:p>
            <w:pPr>
              <w:pStyle w:val="Normal"/>
              <w:jc w:val="both"/>
              <w:rPr>
                <w:sz w:val="28"/>
                <w:szCs w:val="28"/>
              </w:rPr>
            </w:pPr>
            <w:r>
              <w:rPr>
                <w:sz w:val="28"/>
                <w:szCs w:val="28"/>
              </w:rPr>
            </w:r>
          </w:p>
        </w:tc>
        <w:tc>
          <w:tcPr>
            <w:tcW w:w="3087" w:type="dxa"/>
            <w:tcBorders>
              <w:bottom w:val="single" w:sz="4" w:space="0" w:color="000000"/>
            </w:tcBorders>
            <w:shd w:color="auto" w:fill="auto" w:val="clear"/>
          </w:tcPr>
          <w:p>
            <w:pPr>
              <w:pStyle w:val="Normal"/>
              <w:jc w:val="both"/>
              <w:rPr>
                <w:sz w:val="28"/>
                <w:szCs w:val="28"/>
              </w:rPr>
            </w:pPr>
            <w:r>
              <w:rPr>
                <w:sz w:val="28"/>
                <w:szCs w:val="28"/>
              </w:rPr>
            </w:r>
          </w:p>
        </w:tc>
      </w:tr>
      <w:tr>
        <w:trPr/>
        <w:tc>
          <w:tcPr>
            <w:tcW w:w="3508" w:type="dxa"/>
            <w:tcBorders>
              <w:top w:val="single" w:sz="4" w:space="0" w:color="000000"/>
            </w:tcBorders>
            <w:shd w:color="auto" w:fill="auto" w:val="clear"/>
          </w:tcPr>
          <w:p>
            <w:pPr>
              <w:pStyle w:val="Normal"/>
              <w:jc w:val="center"/>
              <w:rPr>
                <w:sz w:val="20"/>
                <w:szCs w:val="20"/>
              </w:rPr>
            </w:pPr>
            <w:r>
              <w:rPr>
                <w:sz w:val="20"/>
                <w:szCs w:val="20"/>
              </w:rPr>
              <w:t>(наименование должности руководителя для юридического лица)</w:t>
            </w:r>
          </w:p>
        </w:tc>
        <w:tc>
          <w:tcPr>
            <w:tcW w:w="411" w:type="dxa"/>
            <w:tcBorders/>
            <w:shd w:color="auto" w:fill="auto" w:val="clear"/>
          </w:tcPr>
          <w:p>
            <w:pPr>
              <w:pStyle w:val="Normal"/>
              <w:jc w:val="center"/>
              <w:rPr>
                <w:sz w:val="20"/>
                <w:szCs w:val="20"/>
              </w:rPr>
            </w:pPr>
            <w:r>
              <w:rPr>
                <w:sz w:val="20"/>
                <w:szCs w:val="20"/>
              </w:rPr>
            </w:r>
          </w:p>
        </w:tc>
        <w:tc>
          <w:tcPr>
            <w:tcW w:w="2449" w:type="dxa"/>
            <w:tcBorders>
              <w:top w:val="single" w:sz="4" w:space="0" w:color="000000"/>
            </w:tcBorders>
            <w:shd w:color="auto" w:fill="auto" w:val="clear"/>
          </w:tcPr>
          <w:p>
            <w:pPr>
              <w:pStyle w:val="Normal"/>
              <w:jc w:val="center"/>
              <w:rPr>
                <w:sz w:val="20"/>
                <w:szCs w:val="20"/>
              </w:rPr>
            </w:pPr>
            <w:r>
              <w:rPr>
                <w:sz w:val="20"/>
                <w:szCs w:val="20"/>
              </w:rPr>
              <w:t>(личная подпись)</w:t>
            </w:r>
          </w:p>
        </w:tc>
        <w:tc>
          <w:tcPr>
            <w:tcW w:w="542" w:type="dxa"/>
            <w:tcBorders/>
            <w:shd w:color="auto" w:fill="auto" w:val="clear"/>
          </w:tcPr>
          <w:p>
            <w:pPr>
              <w:pStyle w:val="Normal"/>
              <w:jc w:val="center"/>
              <w:rPr>
                <w:sz w:val="20"/>
                <w:szCs w:val="20"/>
              </w:rPr>
            </w:pPr>
            <w:r>
              <w:rPr>
                <w:sz w:val="20"/>
                <w:szCs w:val="20"/>
              </w:rPr>
            </w:r>
          </w:p>
        </w:tc>
        <w:tc>
          <w:tcPr>
            <w:tcW w:w="3087" w:type="dxa"/>
            <w:tcBorders>
              <w:top w:val="single" w:sz="4" w:space="0" w:color="000000"/>
            </w:tcBorders>
            <w:shd w:color="auto" w:fill="auto" w:val="clear"/>
          </w:tcPr>
          <w:p>
            <w:pPr>
              <w:pStyle w:val="Normal"/>
              <w:jc w:val="center"/>
              <w:rPr>
                <w:sz w:val="20"/>
                <w:szCs w:val="20"/>
              </w:rPr>
            </w:pPr>
            <w:r>
              <w:rPr>
                <w:sz w:val="20"/>
                <w:szCs w:val="20"/>
              </w:rPr>
              <w:t>(фамилия и инициалы)</w:t>
            </w:r>
          </w:p>
        </w:tc>
      </w:tr>
    </w:tbl>
    <w:p>
      <w:pPr>
        <w:pStyle w:val="Normal"/>
        <w:jc w:val="both"/>
        <w:rPr>
          <w:sz w:val="28"/>
          <w:szCs w:val="28"/>
        </w:rPr>
      </w:pPr>
      <w:r>
        <w:rPr>
          <w:sz w:val="28"/>
          <w:szCs w:val="28"/>
        </w:rPr>
      </w:r>
    </w:p>
    <w:p>
      <w:pPr>
        <w:pStyle w:val="Normal"/>
        <w:jc w:val="both"/>
        <w:rPr>
          <w:sz w:val="28"/>
          <w:szCs w:val="28"/>
        </w:rPr>
      </w:pPr>
      <w:r>
        <w:rPr>
          <w:sz w:val="28"/>
          <w:szCs w:val="28"/>
        </w:rPr>
        <w:t xml:space="preserve">          </w:t>
      </w:r>
      <w:r>
        <w:rPr>
          <w:sz w:val="28"/>
          <w:szCs w:val="28"/>
        </w:rPr>
        <w:t xml:space="preserve">М.П. </w:t>
      </w:r>
    </w:p>
    <w:p>
      <w:pPr>
        <w:pStyle w:val="Normal"/>
        <w:jc w:val="both"/>
        <w:rPr>
          <w:sz w:val="28"/>
          <w:szCs w:val="28"/>
        </w:rPr>
      </w:pPr>
      <w:r>
        <w:rPr/>
        <w:t>(для юридического лица)</w:t>
        <w:tab/>
      </w:r>
      <w:r>
        <w:rPr>
          <w:sz w:val="28"/>
          <w:szCs w:val="28"/>
        </w:rPr>
        <w:tab/>
        <w:tab/>
        <w:t xml:space="preserve">    </w:t>
        <w:tab/>
        <w:tab/>
      </w:r>
      <w:r>
        <w:rPr/>
        <w:t>«____» ___________ 20___ г.</w:t>
      </w:r>
      <w:r>
        <w:rPr>
          <w:sz w:val="28"/>
          <w:szCs w:val="28"/>
        </w:rPr>
        <w:t xml:space="preserve">       </w:t>
      </w:r>
    </w:p>
    <w:p>
      <w:pPr>
        <w:pStyle w:val="Normal"/>
        <w:jc w:val="both"/>
        <w:rPr>
          <w:sz w:val="28"/>
          <w:szCs w:val="28"/>
        </w:rPr>
      </w:pPr>
      <w:r>
        <w:rPr>
          <w:sz w:val="28"/>
          <w:szCs w:val="28"/>
        </w:rPr>
      </w:r>
    </w:p>
    <w:p>
      <w:pPr>
        <w:pStyle w:val="Normal"/>
        <w:jc w:val="both"/>
        <w:rPr>
          <w:sz w:val="28"/>
          <w:szCs w:val="28"/>
        </w:rPr>
      </w:pPr>
      <w:r>
        <w:rPr>
          <w:sz w:val="28"/>
          <w:szCs w:val="28"/>
        </w:rPr>
      </w:r>
    </w:p>
    <w:p>
      <w:pPr>
        <w:pStyle w:val="Normal"/>
        <w:jc w:val="both"/>
        <w:rPr>
          <w:sz w:val="28"/>
          <w:szCs w:val="28"/>
        </w:rPr>
      </w:pPr>
      <w:r>
        <w:rPr>
          <w:sz w:val="28"/>
          <w:szCs w:val="28"/>
        </w:rPr>
        <w:t>Должностное лицо,</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 xml:space="preserve">принявшее документы                        </w:t>
      </w:r>
    </w:p>
    <w:p>
      <w:pPr>
        <w:pStyle w:val="ConsPlusNormal"/>
        <w:numPr>
          <w:ilvl w:val="0"/>
          <w:numId w:val="0"/>
        </w:numPr>
        <w:jc w:val="both"/>
        <w:outlineLvl w:val="1"/>
        <w:rPr>
          <w:rFonts w:ascii="Times New Roman" w:hAnsi="Times New Roman" w:cs="Times New Roman"/>
          <w:sz w:val="28"/>
          <w:szCs w:val="28"/>
        </w:rPr>
      </w:pPr>
      <w:r>
        <w:rPr>
          <w:rFonts w:cs="Times New Roman" w:ascii="Times New Roman" w:hAnsi="Times New Roman"/>
          <w:sz w:val="28"/>
          <w:szCs w:val="28"/>
        </w:rPr>
        <w:t>______________________________________                      _________________</w:t>
      </w:r>
    </w:p>
    <w:p>
      <w:pPr>
        <w:pStyle w:val="Normal"/>
        <w:spacing w:before="0" w:after="0"/>
        <w:contextualSpacing/>
        <w:jc w:val="both"/>
        <w:rPr>
          <w:sz w:val="20"/>
          <w:szCs w:val="20"/>
        </w:rPr>
      </w:pPr>
      <w:r>
        <w:rPr>
          <w:sz w:val="20"/>
          <w:szCs w:val="20"/>
        </w:rPr>
        <w:t xml:space="preserve">                                     </w:t>
      </w:r>
      <w:r>
        <w:rPr>
          <w:sz w:val="20"/>
          <w:szCs w:val="20"/>
        </w:rPr>
        <w:t xml:space="preserve">(фамилия и инициалы)                                                                                        (подпись)    </w:t>
      </w:r>
    </w:p>
    <w:p>
      <w:pPr>
        <w:pStyle w:val="Normal"/>
        <w:jc w:val="both"/>
        <w:rPr/>
      </w:pPr>
      <w:r>
        <w:rPr/>
      </w:r>
    </w:p>
    <w:p>
      <w:pPr>
        <w:pStyle w:val="Normal"/>
        <w:ind w:firstLine="708"/>
        <w:rPr/>
      </w:pPr>
      <w:r>
        <w:rPr/>
      </w:r>
    </w:p>
    <w:p>
      <w:pPr>
        <w:pStyle w:val="Normal"/>
        <w:ind w:firstLine="708"/>
        <w:rPr/>
      </w:pPr>
      <w:r>
        <w:rPr/>
      </w:r>
    </w:p>
    <w:p>
      <w:pPr>
        <w:pStyle w:val="Normal"/>
        <w:ind w:firstLine="708"/>
        <w:rPr/>
      </w:pPr>
      <w:r>
        <w:rPr/>
      </w:r>
    </w:p>
    <w:p>
      <w:pPr>
        <w:pStyle w:val="Normal"/>
        <w:ind w:firstLine="708"/>
        <w:rPr/>
      </w:pPr>
      <w:r>
        <w:rPr/>
      </w:r>
    </w:p>
    <w:p>
      <w:pPr>
        <w:pStyle w:val="Normal"/>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sz w:val="27"/>
          <w:szCs w:val="27"/>
        </w:rPr>
      </w:pPr>
      <w:r>
        <w:rPr>
          <w:sz w:val="27"/>
          <w:szCs w:val="27"/>
        </w:rPr>
      </w:r>
    </w:p>
    <w:p>
      <w:pPr>
        <w:pStyle w:val="Normal"/>
        <w:rPr>
          <w:sz w:val="27"/>
          <w:szCs w:val="27"/>
        </w:rPr>
      </w:pPr>
      <w:r>
        <w:rPr>
          <w:sz w:val="27"/>
          <w:szCs w:val="27"/>
        </w:rPr>
        <w:t xml:space="preserve"> </w:t>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ind w:left="7371" w:hanging="0"/>
        <w:rPr>
          <w:sz w:val="28"/>
          <w:szCs w:val="28"/>
        </w:rPr>
      </w:pPr>
      <w:r>
        <w:rPr>
          <w:sz w:val="28"/>
          <w:szCs w:val="28"/>
        </w:rPr>
      </w:r>
    </w:p>
    <w:p>
      <w:pPr>
        <w:pStyle w:val="Normal"/>
        <w:rPr/>
      </w:pPr>
      <w:r>
        <w:rPr/>
      </w:r>
      <w:bookmarkEnd w:id="1"/>
    </w:p>
    <w:sectPr>
      <w:headerReference w:type="default" r:id="rId8"/>
      <w:footerReference w:type="default" r:id="rId9"/>
      <w:type w:val="nextPage"/>
      <w:pgSz w:w="12240" w:h="15840"/>
      <w:pgMar w:left="1134" w:right="567" w:header="567" w:top="1134" w:footer="567"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Courier New">
    <w:charset w:val="cc"/>
    <w:family w:val="roman"/>
    <w:pitch w:val="variable"/>
  </w:font>
  <w:font w:name="Times New Roman CYR">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rPr/>
    </w:pPr>
    <w:r>
      <w:rPr/>
    </w:r>
  </w:p>
</w:hdr>
</file>

<file path=word/settings.xml><?xml version="1.0" encoding="utf-8"?>
<w:settings xmlns:w="http://schemas.openxmlformats.org/wordprocessingml/2006/main">
  <w:zoom w:percent="9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91fca"/>
    <w:pPr>
      <w:widowControl/>
      <w:suppressAutoHyphens w:val="false"/>
      <w:bidi w:val="0"/>
      <w:spacing w:lineRule="auto" w:line="240" w:before="0" w:after="0"/>
      <w:jc w:val="left"/>
    </w:pPr>
    <w:rPr>
      <w:rFonts w:ascii="Times New Roman" w:hAnsi="Times New Roman" w:eastAsia="Times New Roman" w:cs="Times New Roman"/>
      <w:color w:val="auto"/>
      <w:kern w:val="0"/>
      <w:sz w:val="24"/>
      <w:szCs w:val="24"/>
      <w:lang w:eastAsia="ru-RU" w:val="ru-RU" w:bidi="ar-SA"/>
    </w:rPr>
  </w:style>
  <w:style w:type="character" w:styleId="DefaultParagraphFont" w:default="1">
    <w:name w:val="Default Paragraph Font"/>
    <w:uiPriority w:val="1"/>
    <w:semiHidden/>
    <w:unhideWhenUsed/>
    <w:qFormat/>
    <w:rPr/>
  </w:style>
  <w:style w:type="character" w:styleId="Style14">
    <w:name w:val="Интернет-ссылка"/>
    <w:rPr>
      <w:color w:val="000080"/>
      <w:u w:val="single"/>
      <w:lang w:val="zxx" w:eastAsia="zxx" w:bidi="zxx"/>
    </w:rPr>
  </w:style>
  <w:style w:type="character" w:styleId="Style15">
    <w:name w:val="Цветовое выделение"/>
    <w:qFormat/>
    <w:rPr>
      <w:b/>
      <w:color w:val="26282F"/>
    </w:rPr>
  </w:style>
  <w:style w:type="character" w:styleId="HTML">
    <w:name w:val="Стандартный HTML Знак"/>
    <w:qFormat/>
    <w:rPr>
      <w:rFonts w:ascii="Courier New" w:hAnsi="Courier New" w:eastAsia="Times New Roman"/>
      <w:sz w:val="20"/>
      <w:szCs w:val="20"/>
      <w:lang w:eastAsia="ru-RU"/>
    </w:rPr>
  </w:style>
  <w:style w:type="character" w:styleId="FontStyle60">
    <w:name w:val="Font Style60"/>
    <w:qFormat/>
    <w:rPr>
      <w:rFonts w:ascii="Times New Roman" w:hAnsi="Times New Roman" w:eastAsia="Times New Roman"/>
      <w:sz w:val="26"/>
      <w:szCs w:val="26"/>
    </w:rPr>
  </w:style>
  <w:style w:type="character" w:styleId="1">
    <w:name w:val="Заголовок 1 Знак"/>
    <w:qFormat/>
    <w:rPr>
      <w:rFonts w:ascii="Times New Roman CYR" w:hAnsi="Times New Roman CYR" w:eastAsia="Times New Roman CYR"/>
      <w:b/>
      <w:bCs/>
      <w:color w:val="26282F"/>
    </w:rPr>
  </w:style>
  <w:style w:type="character" w:styleId="Style16">
    <w:name w:val="Сравнение редакций. Добавленный фрагмент"/>
    <w:qFormat/>
    <w:rPr>
      <w:color w:val="000000"/>
      <w:shd w:fill="C1D7FF" w:val="clear"/>
    </w:rPr>
  </w:style>
  <w:style w:type="character" w:styleId="Style17">
    <w:name w:val="Гипертекстовая ссылка"/>
    <w:qFormat/>
    <w:rPr>
      <w:color w:val="106BBE"/>
    </w:rPr>
  </w:style>
  <w:style w:type="character" w:styleId="Pagenumber">
    <w:name w:val="page number"/>
    <w:qFormat/>
    <w:rPr/>
  </w:style>
  <w:style w:type="character" w:styleId="Style18">
    <w:name w:val="Нижний колонтитул Знак"/>
    <w:qFormat/>
    <w:rPr>
      <w:rFonts w:ascii="Times New Roman" w:hAnsi="Times New Roman" w:eastAsia="Times New Roman"/>
    </w:rPr>
  </w:style>
  <w:style w:type="character" w:styleId="Style19">
    <w:name w:val="Верхний колонтитул Знак"/>
    <w:qFormat/>
    <w:rPr>
      <w:rFonts w:ascii="Times New Roman" w:hAnsi="Times New Roman" w:eastAsia="Times New Roman"/>
    </w:rPr>
  </w:style>
  <w:style w:type="character" w:styleId="11">
    <w:name w:val="Текст выноски Знак1"/>
    <w:qFormat/>
    <w:rPr>
      <w:rFonts w:ascii="Tahoma" w:hAnsi="Tahoma" w:eastAsia="Tahoma"/>
      <w:sz w:val="16"/>
      <w:szCs w:val="16"/>
    </w:rPr>
  </w:style>
  <w:style w:type="character" w:styleId="Style20">
    <w:name w:val="Текст выноски Знак"/>
    <w:qFormat/>
    <w:rPr>
      <w:rFonts w:ascii="Tahoma" w:hAnsi="Tahoma" w:eastAsia="Tahoma"/>
      <w:sz w:val="16"/>
      <w:szCs w:val="16"/>
    </w:rPr>
  </w:style>
  <w:style w:type="character" w:styleId="Style21">
    <w:name w:val="Текст сноски Знак"/>
    <w:qFormat/>
    <w:rPr>
      <w:rFonts w:ascii="Times New Roman" w:hAnsi="Times New Roman" w:eastAsia="Times New Roman"/>
      <w:sz w:val="20"/>
      <w:szCs w:val="20"/>
    </w:rPr>
  </w:style>
  <w:style w:type="character" w:styleId="Style22">
    <w:name w:val="Название Знак"/>
    <w:qFormat/>
    <w:rPr>
      <w:rFonts w:ascii="Times New Roman" w:hAnsi="Times New Roman" w:eastAsia="Times New Roman"/>
      <w:sz w:val="28"/>
    </w:rPr>
  </w:style>
  <w:style w:type="paragraph" w:styleId="Style23">
    <w:name w:val="Заголовок"/>
    <w:basedOn w:val="Normal"/>
    <w:next w:val="Style24"/>
    <w:qFormat/>
    <w:pPr>
      <w:keepNext w:val="true"/>
      <w:spacing w:before="240" w:after="120"/>
    </w:pPr>
    <w:rPr>
      <w:rFonts w:ascii="Liberation Sans" w:hAnsi="Liberation Sans" w:eastAsia="Microsoft YaHei" w:cs="Arial"/>
      <w:sz w:val="28"/>
      <w:szCs w:val="28"/>
    </w:rPr>
  </w:style>
  <w:style w:type="paragraph" w:styleId="Style24">
    <w:name w:val="Body Text"/>
    <w:basedOn w:val="Normal"/>
    <w:pPr>
      <w:spacing w:lineRule="auto" w:line="276" w:before="0" w:after="140"/>
    </w:pPr>
    <w:rPr/>
  </w:style>
  <w:style w:type="paragraph" w:styleId="Style25">
    <w:name w:val="List"/>
    <w:basedOn w:val="Style24"/>
    <w:pPr/>
    <w:rPr>
      <w:rFonts w:cs="Arial"/>
    </w:rPr>
  </w:style>
  <w:style w:type="paragraph" w:styleId="Style26">
    <w:name w:val="Caption"/>
    <w:basedOn w:val="Normal"/>
    <w:qFormat/>
    <w:pPr>
      <w:suppressLineNumbers/>
      <w:spacing w:before="120" w:after="120"/>
    </w:pPr>
    <w:rPr>
      <w:rFonts w:cs="Arial"/>
      <w:i/>
      <w:iCs/>
      <w:sz w:val="24"/>
      <w:szCs w:val="24"/>
    </w:rPr>
  </w:style>
  <w:style w:type="paragraph" w:styleId="Style27">
    <w:name w:val="Указатель"/>
    <w:basedOn w:val="Normal"/>
    <w:qFormat/>
    <w:pPr>
      <w:suppressLineNumbers/>
    </w:pPr>
    <w:rPr>
      <w:rFonts w:cs="Arial"/>
    </w:rPr>
  </w:style>
  <w:style w:type="paragraph" w:styleId="ConsPlusNormal" w:customStyle="1">
    <w:name w:val="ConsPlusNormal"/>
    <w:uiPriority w:val="99"/>
    <w:qFormat/>
    <w:rsid w:val="00091fca"/>
    <w:pPr>
      <w:widowControl w:val="false"/>
      <w:bidi w:val="0"/>
      <w:spacing w:lineRule="auto" w:line="240" w:before="0" w:after="0"/>
      <w:jc w:val="left"/>
    </w:pPr>
    <w:rPr>
      <w:rFonts w:ascii="Calibri" w:hAnsi="Calibri" w:eastAsia="Times New Roman" w:cs="Calibri" w:asciiTheme="minorHAnsi" w:hAnsiTheme="minorHAnsi"/>
      <w:color w:val="auto"/>
      <w:kern w:val="0"/>
      <w:sz w:val="24"/>
      <w:szCs w:val="20"/>
      <w:lang w:eastAsia="ru-RU" w:val="ru-RU" w:bidi="ar-SA"/>
    </w:rPr>
  </w:style>
  <w:style w:type="paragraph" w:styleId="ConsPlusTitle" w:customStyle="1">
    <w:name w:val="ConsPlusTitle"/>
    <w:qFormat/>
    <w:rsid w:val="00091fca"/>
    <w:pPr>
      <w:widowControl w:val="false"/>
      <w:bidi w:val="0"/>
      <w:spacing w:lineRule="auto" w:line="240" w:before="0" w:after="0"/>
      <w:jc w:val="left"/>
    </w:pPr>
    <w:rPr>
      <w:rFonts w:ascii="Calibri" w:hAnsi="Calibri" w:eastAsia="Times New Roman" w:cs="Calibri" w:asciiTheme="minorHAnsi" w:hAnsiTheme="minorHAnsi"/>
      <w:b/>
      <w:color w:val="auto"/>
      <w:kern w:val="0"/>
      <w:sz w:val="24"/>
      <w:szCs w:val="20"/>
      <w:lang w:eastAsia="ru-RU" w:val="ru-RU" w:bidi="ar-SA"/>
    </w:rPr>
  </w:style>
  <w:style w:type="paragraph" w:styleId="ConsPlusNonformat" w:customStyle="1">
    <w:name w:val="ConsPlusNonformat"/>
    <w:qFormat/>
    <w:rsid w:val="00091fca"/>
    <w:pPr>
      <w:widowControl w:val="false"/>
      <w:bidi w:val="0"/>
      <w:spacing w:lineRule="auto" w:line="240" w:before="0" w:after="0"/>
      <w:jc w:val="left"/>
    </w:pPr>
    <w:rPr>
      <w:rFonts w:ascii="Courier New" w:hAnsi="Courier New" w:eastAsia="Times New Roman" w:cs="Courier New"/>
      <w:color w:val="auto"/>
      <w:kern w:val="0"/>
      <w:sz w:val="20"/>
      <w:szCs w:val="20"/>
      <w:lang w:eastAsia="ru-RU" w:val="ru-RU" w:bidi="ar-SA"/>
    </w:rPr>
  </w:style>
  <w:style w:type="paragraph" w:styleId="ListParagraph">
    <w:name w:val="List Paragraph"/>
    <w:basedOn w:val="Normal"/>
    <w:uiPriority w:val="34"/>
    <w:qFormat/>
    <w:rsid w:val="00091fca"/>
    <w:pPr>
      <w:spacing w:before="0" w:after="0"/>
      <w:ind w:left="720" w:hanging="0"/>
      <w:contextualSpacing/>
    </w:pPr>
    <w:rPr/>
  </w:style>
  <w:style w:type="paragraph" w:styleId="ConsPlusCell">
    <w:name w:val="ConsPlusCell"/>
    <w:qFormat/>
    <w:pPr>
      <w:widowControl w:val="false"/>
      <w:suppressAutoHyphens w:val="true"/>
      <w:bidi w:val="0"/>
      <w:spacing w:lineRule="auto" w:line="240" w:before="0" w:after="0"/>
      <w:jc w:val="left"/>
    </w:pPr>
    <w:rPr>
      <w:rFonts w:ascii="Courier New" w:hAnsi="Courier New" w:eastAsia="Liberation Serif" w:cs="Liberation Serif"/>
      <w:color w:val="auto"/>
      <w:kern w:val="0"/>
      <w:sz w:val="20"/>
      <w:szCs w:val="20"/>
      <w:lang w:val="ru-RU" w:eastAsia="ar-SA" w:bidi="ar-SA"/>
    </w:rPr>
  </w:style>
  <w:style w:type="paragraph" w:styleId="ConsPlusDocList">
    <w:name w:val="ConsPlusDocList"/>
    <w:qFormat/>
    <w:pPr>
      <w:widowControl w:val="false"/>
      <w:suppressAutoHyphens w:val="true"/>
      <w:bidi w:val="0"/>
      <w:spacing w:lineRule="auto" w:line="240" w:before="0" w:after="0"/>
      <w:jc w:val="left"/>
    </w:pPr>
    <w:rPr>
      <w:rFonts w:ascii="Calibri" w:hAnsi="Calibri" w:eastAsia="Liberation Serif" w:cs="Liberation Serif"/>
      <w:color w:val="auto"/>
      <w:kern w:val="0"/>
      <w:sz w:val="22"/>
      <w:szCs w:val="20"/>
      <w:lang w:val="ru-RU" w:eastAsia="ar-SA" w:bidi="ar-SA"/>
    </w:rPr>
  </w:style>
  <w:style w:type="paragraph" w:styleId="ConsPlusTitlePage">
    <w:name w:val="ConsPlusTitlePage"/>
    <w:qFormat/>
    <w:pPr>
      <w:widowControl w:val="false"/>
      <w:suppressAutoHyphens w:val="true"/>
      <w:bidi w:val="0"/>
      <w:spacing w:lineRule="auto" w:line="240" w:before="0" w:after="0"/>
      <w:jc w:val="left"/>
    </w:pPr>
    <w:rPr>
      <w:rFonts w:ascii="Tahoma" w:hAnsi="Tahoma" w:eastAsia="Liberation Serif" w:cs="Liberation Serif"/>
      <w:color w:val="auto"/>
      <w:kern w:val="0"/>
      <w:sz w:val="20"/>
      <w:szCs w:val="20"/>
      <w:lang w:val="ru-RU" w:eastAsia="ar-SA" w:bidi="ar-SA"/>
    </w:rPr>
  </w:style>
  <w:style w:type="paragraph" w:styleId="ConsPlusJurTerm">
    <w:name w:val="ConsPlusJurTerm"/>
    <w:qFormat/>
    <w:pPr>
      <w:widowControl w:val="false"/>
      <w:suppressAutoHyphens w:val="true"/>
      <w:bidi w:val="0"/>
      <w:spacing w:lineRule="auto" w:line="240" w:before="0" w:after="0"/>
      <w:jc w:val="left"/>
    </w:pPr>
    <w:rPr>
      <w:rFonts w:ascii="Tahoma" w:hAnsi="Tahoma" w:eastAsia="Liberation Serif" w:cs="Liberation Serif"/>
      <w:color w:val="auto"/>
      <w:kern w:val="0"/>
      <w:sz w:val="26"/>
      <w:szCs w:val="20"/>
      <w:lang w:val="ru-RU" w:eastAsia="ar-SA" w:bidi="ar-SA"/>
    </w:rPr>
  </w:style>
  <w:style w:type="paragraph" w:styleId="ConsPlusTextList">
    <w:name w:val="ConsPlusTextList"/>
    <w:qFormat/>
    <w:pPr>
      <w:widowControl w:val="false"/>
      <w:suppressAutoHyphens w:val="true"/>
      <w:bidi w:val="0"/>
      <w:spacing w:lineRule="auto" w:line="240" w:before="0" w:after="0"/>
      <w:jc w:val="left"/>
    </w:pPr>
    <w:rPr>
      <w:rFonts w:ascii="Arial" w:hAnsi="Arial" w:eastAsia="Liberation Serif" w:cs="Liberation Serif"/>
      <w:color w:val="auto"/>
      <w:kern w:val="0"/>
      <w:sz w:val="20"/>
      <w:szCs w:val="20"/>
      <w:lang w:val="ru-RU" w:eastAsia="ar-SA" w:bidi="ar-SA"/>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exact" w:line="240"/>
    </w:pPr>
    <w:rPr>
      <w:rFonts w:ascii="Courier New" w:hAnsi="Courier New" w:eastAsia="Times New Roman"/>
      <w:sz w:val="20"/>
      <w:szCs w:val="20"/>
      <w:lang w:eastAsia="ar-SA"/>
    </w:rPr>
  </w:style>
  <w:style w:type="paragraph" w:styleId="Style111">
    <w:name w:val="Style11"/>
    <w:basedOn w:val="Normal"/>
    <w:qFormat/>
    <w:pPr>
      <w:widowControl w:val="false"/>
      <w:spacing w:lineRule="exact" w:line="318"/>
      <w:ind w:firstLine="533"/>
      <w:jc w:val="both"/>
    </w:pPr>
    <w:rPr>
      <w:rFonts w:eastAsia="0"/>
      <w:lang w:eastAsia="ar-SA"/>
    </w:rPr>
  </w:style>
  <w:style w:type="paragraph" w:styleId="BalloonText">
    <w:name w:val="Balloon Text"/>
    <w:basedOn w:val="Normal"/>
    <w:qFormat/>
    <w:pPr/>
    <w:rPr>
      <w:rFonts w:ascii="Tahoma" w:hAnsi="Tahoma" w:eastAsia="Tahoma"/>
      <w:sz w:val="16"/>
      <w:szCs w:val="16"/>
      <w:lang w:eastAsia="ar-SA"/>
    </w:rPr>
  </w:style>
  <w:style w:type="paragraph" w:styleId="Style28">
    <w:name w:val="Верхний и нижний колонтитулы"/>
    <w:basedOn w:val="Normal"/>
    <w:qFormat/>
    <w:pPr/>
    <w:rPr/>
  </w:style>
  <w:style w:type="paragraph" w:styleId="Style29">
    <w:name w:val="Header"/>
    <w:basedOn w:val="Style28"/>
    <w:pPr/>
    <w:rPr/>
  </w:style>
  <w:style w:type="paragraph" w:styleId="Style30">
    <w:name w:val="Footer"/>
    <w:basedOn w:val="Style28"/>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yperlink" Target="consultantplus://offline/ref=8043C5515ACD714A09100ADF3F930682B96D2B4A7A9FF42C18C9665B7697A72B7B154D96FF04FA00DDAAH" TargetMode="External"/><Relationship Id="rId5" Type="http://schemas.openxmlformats.org/officeDocument/2006/relationships/hyperlink" Target="consultantplus://offline/ref=51FFC7BCF659B3634B2370AB3CD4FA85142E09AE6B5CDA928650F49C18780706BBD9F63D0F9092E3a0vAG" TargetMode="External"/><Relationship Id="rId6" Type="http://schemas.openxmlformats.org/officeDocument/2006/relationships/hyperlink" Target="consultantplus://offline/ref=5C4F1B719FF4D3188EEA526315A7C1DBA1C50AD9B274E7F0BF5B27322628B79CC9284A0F5187C5676054B5502338xCM" TargetMode="External"/><Relationship Id="rId7" Type="http://schemas.openxmlformats.org/officeDocument/2006/relationships/hyperlink" Target="consultantplus://offline/ref=BA93AB9E036F30AC6AE951BC39516C7CA46B97D6239558C45DBA5D6FE26E5A252FDBD4421ADBD2E210D0D59E3D62FB135984461968215CB6f5Q7K" TargetMode="Externa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Application>LibreOffice/6.4.3.2$Windows_x86 LibreOffice_project/747b5d0ebf89f41c860ec2a39efd7cb15b54f2d8</Application>
  <Pages>21</Pages>
  <Words>6210</Words>
  <Characters>49207</Characters>
  <CharactersWithSpaces>56329</CharactersWithSpaces>
  <Paragraphs>445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Вострикова Анна Викторовна</dc:creator>
  <dc:description/>
  <dc:language>ru-RU</dc:language>
  <cp:lastModifiedBy/>
  <dcterms:modified xsi:type="dcterms:W3CDTF">2021-04-29T13:58:07Z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