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  <w:r>
        <w:rPr>
          <w:rFonts w:eastAsia="Times New Roman" w:cs="Times New Roman"/>
          <w:b/>
          <w:sz w:val="28"/>
          <w:szCs w:val="24"/>
          <w:lang w:eastAsia="ru-RU"/>
        </w:rPr>
        <w:t>АЩЕБУТАКСКИЙ</w:t>
      </w:r>
      <w:r>
        <w:rPr>
          <w:b/>
          <w:sz w:val="28"/>
        </w:rPr>
        <w:t xml:space="preserve">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ПОСТАНОВЛЕНИЕ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10.01.2022</w:t>
      </w:r>
      <w:r>
        <w:rPr>
          <w:b/>
          <w:sz w:val="28"/>
        </w:rPr>
        <w:t xml:space="preserve">                                                                                            № </w:t>
      </w:r>
      <w:r>
        <w:rPr>
          <w:b/>
          <w:sz w:val="28"/>
        </w:rPr>
        <w:t>03-</w:t>
      </w:r>
      <w:r>
        <w:rPr>
          <w:b/>
          <w:sz w:val="28"/>
        </w:rPr>
        <w:t>п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 xml:space="preserve">Об утверждении программы профилактики рисков причинения 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 xml:space="preserve">вреда (ущерба) охраняемым законом ценностям при осуществлении муниципального контроля на автомобильном транспорте и 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в дорожном хозяйстве на 2022 год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Федеральным законом Федеральный закон от 31.07.2020         № 248-ФЗ "О государственном контроле (надзоре) и муниципальном контроле                      в Российской Федерации", Постановлением Правительства РФ от 25.06.2021 № 990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Ащебутакский  сельсовет от </w:t>
      </w:r>
      <w:r>
        <w:rPr>
          <w:rFonts w:eastAsia="" w:cs="Times New Roman" w:ascii="Times New Roman" w:hAnsi="Times New Roman" w:eastAsiaTheme="minorEastAsia"/>
          <w:b w:val="false"/>
          <w:bCs/>
          <w:sz w:val="26"/>
          <w:szCs w:val="26"/>
          <w:lang w:eastAsia="ru-RU"/>
        </w:rPr>
        <w:t>28.09.2021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№ </w:t>
      </w:r>
      <w:r>
        <w:rPr>
          <w:rFonts w:eastAsia="" w:cs="Times New Roman" w:ascii="Times New Roman" w:hAnsi="Times New Roman" w:eastAsiaTheme="minorEastAsia"/>
          <w:b w:val="false"/>
          <w:bCs/>
          <w:sz w:val="26"/>
          <w:szCs w:val="26"/>
          <w:lang w:eastAsia="ru-RU"/>
        </w:rPr>
        <w:t>17-5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«О муниципальном контроле на автомобильном транспорте и в дорожном хозяйстве на территории </w:t>
      </w:r>
    </w:p>
    <w:p>
      <w:pPr>
        <w:pStyle w:val="ConsPlusTitle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муниципального образования Ащебутакский  сельсовет», Администрация муниципального образования Ащебутакский  сельсовет, </w:t>
      </w:r>
      <w:r>
        <w:rPr>
          <w:rFonts w:cs="Times New Roman" w:ascii="Times New Roman" w:hAnsi="Times New Roman"/>
          <w:b w:val="false"/>
          <w:sz w:val="26"/>
          <w:szCs w:val="26"/>
        </w:rPr>
        <w:t>постановляю:</w:t>
      </w:r>
    </w:p>
    <w:p>
      <w:pPr>
        <w:pStyle w:val="Normal"/>
        <w:ind w:firstLine="709"/>
        <w:jc w:val="both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2022 год, согласно Приложению.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подписания и подлежит размещению на официальном сайте Администрации муниципального образования Ащебутакский  сельсовет. 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Глава </w:t>
      </w:r>
      <w:r>
        <w:rPr>
          <w:rFonts w:eastAsia="Calibri"/>
          <w:sz w:val="28"/>
          <w:szCs w:val="28"/>
        </w:rPr>
        <w:t xml:space="preserve"> муниципального образования</w:t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/>
          <w:sz w:val="28"/>
          <w:szCs w:val="28"/>
        </w:rPr>
        <w:t xml:space="preserve">Ащебутакский  сельсовет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>Н.В. Конарева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/>
      </w:pPr>
      <w:r>
        <w:rPr/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/>
      </w:pPr>
      <w:r>
        <w:rPr/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/>
      </w:pPr>
      <w:r>
        <w:rPr/>
      </w:r>
    </w:p>
    <w:p>
      <w:pPr>
        <w:pStyle w:val="Normal"/>
        <w:jc w:val="right"/>
        <w:rPr>
          <w:rStyle w:val="SubtleEmphasis"/>
          <w:i w:val="false"/>
          <w:i w:val="false"/>
          <w:sz w:val="26"/>
          <w:szCs w:val="26"/>
        </w:rPr>
      </w:pPr>
      <w:r>
        <w:rPr/>
      </w:r>
    </w:p>
    <w:p>
      <w:pPr>
        <w:pStyle w:val="Normal"/>
        <w:jc w:val="right"/>
        <w:rPr>
          <w:rStyle w:val="SubtleEmphasis"/>
          <w:i w:val="false"/>
          <w:i w:val="false"/>
          <w:sz w:val="26"/>
          <w:szCs w:val="26"/>
        </w:rPr>
      </w:pPr>
      <w:r>
        <w:rPr>
          <w:rStyle w:val="SubtleEmphasis"/>
          <w:i w:val="false"/>
          <w:sz w:val="26"/>
          <w:szCs w:val="26"/>
        </w:rPr>
        <w:t>Приложение</w:t>
      </w:r>
    </w:p>
    <w:p>
      <w:pPr>
        <w:pStyle w:val="Normal"/>
        <w:jc w:val="right"/>
        <w:rPr>
          <w:rStyle w:val="SubtleEmphasis"/>
          <w:i w:val="false"/>
          <w:i w:val="false"/>
          <w:sz w:val="26"/>
          <w:szCs w:val="26"/>
        </w:rPr>
      </w:pPr>
      <w:r>
        <w:rPr>
          <w:rStyle w:val="SubtleEmphasis"/>
          <w:i w:val="false"/>
          <w:sz w:val="26"/>
          <w:szCs w:val="26"/>
        </w:rPr>
        <w:t>к постановлению</w:t>
      </w:r>
    </w:p>
    <w:p>
      <w:pPr>
        <w:pStyle w:val="Normal"/>
        <w:jc w:val="right"/>
        <w:rPr>
          <w:i w:val="false"/>
          <w:i w:val="false"/>
          <w:sz w:val="26"/>
          <w:szCs w:val="26"/>
        </w:rPr>
      </w:pPr>
      <w:r>
        <w:rPr>
          <w:rStyle w:val="SubtleEmphasis"/>
          <w:i w:val="false"/>
          <w:sz w:val="26"/>
          <w:szCs w:val="26"/>
        </w:rPr>
        <w:t xml:space="preserve">от </w:t>
      </w:r>
      <w:r>
        <w:rPr>
          <w:rStyle w:val="SubtleEmphasis"/>
          <w:rFonts w:eastAsia="Times New Roman" w:cs="Times New Roman"/>
          <w:i w:val="false"/>
          <w:iCs/>
          <w:color w:val="404040" w:themeColor="text1" w:themeTint="bf"/>
          <w:sz w:val="26"/>
          <w:szCs w:val="26"/>
          <w:lang w:eastAsia="ru-RU"/>
        </w:rPr>
        <w:t xml:space="preserve">10.01.2022 </w:t>
      </w:r>
      <w:r>
        <w:rPr>
          <w:rStyle w:val="SubtleEmphasis"/>
          <w:i w:val="false"/>
          <w:sz w:val="26"/>
          <w:szCs w:val="26"/>
        </w:rPr>
        <w:t xml:space="preserve">   № </w:t>
      </w:r>
      <w:r>
        <w:rPr>
          <w:rStyle w:val="SubtleEmphasis"/>
          <w:i w:val="false"/>
          <w:sz w:val="26"/>
          <w:szCs w:val="26"/>
        </w:rPr>
        <w:t>03-п</w:t>
      </w:r>
    </w:p>
    <w:p>
      <w:pPr>
        <w:pStyle w:val="Normal"/>
        <w:jc w:val="right"/>
        <w:rPr>
          <w:rStyle w:val="SubtleEmphasis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транспорте и в дорожном хозяйстве на 2022 год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Style w:val="a5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9"/>
        <w:gridCol w:w="6574"/>
      </w:tblGrid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транспорте и в дорожном хозяйстве на 2022 год.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муниципального образования Ащебутакский  сельсовет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Правовые основания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both"/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  <w:t>Федеральный закон от 31.07.2020 № 248-ФЗ                                   "О государственном контроле (надзоре)                                              и муниципальном контроле в Российской Федерации" (далее - Закон № 248-ФЗ). 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  <w:p>
            <w:pPr>
              <w:pStyle w:val="ConsPlusTitle"/>
              <w:jc w:val="both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sz w:val="26"/>
                <w:szCs w:val="26"/>
              </w:rPr>
              <w:t xml:space="preserve">Решение Совета депутатов муниципального образования Ащебутакский  сельсовет от </w:t>
            </w:r>
            <w:r>
              <w:rPr>
                <w:rFonts w:eastAsia="" w:cs="Times New Roman" w:ascii="Times New Roman" w:hAnsi="Times New Roman" w:eastAsiaTheme="minorEastAsia"/>
                <w:b w:val="false"/>
                <w:bCs/>
                <w:sz w:val="26"/>
                <w:szCs w:val="26"/>
                <w:lang w:eastAsia="ru-RU"/>
              </w:rPr>
              <w:t>28.09.2021</w:t>
            </w:r>
            <w:r>
              <w:rPr>
                <w:rFonts w:cs="Times New Roman" w:ascii="Times New Roman" w:hAnsi="Times New Roman"/>
                <w:b w:val="false"/>
                <w:sz w:val="26"/>
                <w:szCs w:val="26"/>
              </w:rPr>
              <w:t xml:space="preserve"> № </w:t>
            </w:r>
            <w:r>
              <w:rPr>
                <w:rFonts w:eastAsia="" w:cs="Times New Roman" w:ascii="Times New Roman" w:hAnsi="Times New Roman" w:eastAsiaTheme="minorEastAsia"/>
                <w:b w:val="false"/>
                <w:bCs/>
                <w:sz w:val="26"/>
                <w:szCs w:val="26"/>
                <w:lang w:eastAsia="ru-RU"/>
              </w:rPr>
              <w:t>17-5</w:t>
            </w:r>
            <w:r>
              <w:rPr>
                <w:rFonts w:cs="Times New Roman" w:ascii="Times New Roman" w:hAnsi="Times New Roman"/>
                <w:b w:val="false"/>
                <w:sz w:val="26"/>
                <w:szCs w:val="26"/>
              </w:rPr>
              <w:t xml:space="preserve"> «О муниципальном контроле на автомобильном транспорте и в дорожном хозяйстве на территории муниципального образования Ащебутакский  сельсовет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2.Повышение эффективности защиты прав граждан.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3.Повышение результативности и эффективности контрольной деятельности при осуществлении муниципального контроля на автомобильном транспорте и в дорожном хозяйстве.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  <w:br/>
              <w:t>2. Проведение профилактических мероприятий, направленных на предотвращение причинения вреда</w:t>
              <w:br/>
              <w:t>охраняемым законом ценностям.</w:t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>
        <w:trPr/>
        <w:tc>
          <w:tcPr>
            <w:tcW w:w="27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4" w:type="dxa"/>
            <w:tcBorders/>
          </w:tcPr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4. Развитие системы профилактических мероприятий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6. Повышение прозрачности деятельности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10. Повышение прозрачности системы контрольной деятельности.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11. Повышение качества предоставляемых услуг населению.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rFonts w:eastAsia="Calibri"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2022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контрольном лиц: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Профилактическое сопровождение контролируемых лиц в текущем периоде направлено на: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По результатам контрольных мероприятий, проведенных в текущем периоде, наиболее значимыми проблемами являются несоблюдение юридическими лицами требований законодательства, в части содержания автомобильных дорог                  и пассажирских перевозок.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5.Описание ключевых наиболее значимых рисков.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Вероятность нарушения юридическими лицами, индивидуальными предпринимателями, установленных требований законодательства в сфере автомобильного транспорта и дорожного хозяйства.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Описание текущей и ожидаемой тенденций, которые могут оказать воздействие на состояние подконтрольной сферы.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нормативной правовой базы в области осуществления деятельности муниципального контроля на автомобильном транспорте                                         и в дорожном хозяйстве,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в сфере автомобильного транспорта и дорожного хозяйства.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2. Цели и задачи реализации программы профилактики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Целями реализации программы являются: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Повышение эффективности защиты прав граждан.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Повышение результативности и эффективности контрольной деятельности в сфере муниципального контроля на автомобильном транспорте и в дорожном хозяйстве.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достижения целей необходимо решение следующих задач: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 Определение перечня видов и сбор статистических данных, необходимых для организации профилактической работы.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Cs/>
          <w:sz w:val="26"/>
          <w:szCs w:val="26"/>
        </w:rPr>
        <w:t>Перечень профилактических мероприятий,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сроки (периодичность) их проведения 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Style w:val="a5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3729"/>
        <w:gridCol w:w="20"/>
        <w:gridCol w:w="2470"/>
        <w:gridCol w:w="50"/>
        <w:gridCol w:w="2480"/>
      </w:tblGrid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729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3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749" w:type="dxa"/>
            <w:gridSpan w:val="5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1.Информирование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1692" w:hRule="atLeast"/>
        </w:trPr>
        <w:tc>
          <w:tcPr>
            <w:tcW w:w="594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Ащебутакский  сельсовета: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Текстов нормативных правовых актов, регулирующих осуществление муниципального контроля.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gridSpan w:val="2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9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Программы профилактики рисков причинения вреда.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30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9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90" w:type="dxa"/>
            <w:gridSpan w:val="2"/>
            <w:vMerge w:val="restart"/>
            <w:tcBorders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1 раз в год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9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490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665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Проверочных листов.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5 рабочих дней после их утверждения</w:t>
            </w:r>
          </w:p>
        </w:tc>
        <w:tc>
          <w:tcPr>
            <w:tcW w:w="2530" w:type="dxa"/>
            <w:gridSpan w:val="2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>
              <w:rPr>
                <w:sz w:val="26"/>
                <w:szCs w:val="26"/>
              </w:rPr>
              <w:t xml:space="preserve">  сельсовета 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4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год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68" w:hRule="atLeast"/>
        </w:trPr>
        <w:tc>
          <w:tcPr>
            <w:tcW w:w="9343" w:type="dxa"/>
            <w:gridSpan w:val="6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2.Объявление предостережения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  <w:br/>
              <w:t>при осуществлении деятельности на автомобильном транспорте и в дорожном хозяйстве.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749" w:type="dxa"/>
            <w:gridSpan w:val="5"/>
            <w:tcBorders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3.Консультирование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осуществляется по вопросам: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Организации и осуществления муниципального контроля.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Порядка осуществления профилактических, контрольных мероприятий, установленных Положением.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на автомобильном транспорте и в дорожном хозяйстве.</w:t>
            </w:r>
          </w:p>
        </w:tc>
        <w:tc>
          <w:tcPr>
            <w:tcW w:w="249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запросу,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0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>
              <w:rPr>
                <w:sz w:val="26"/>
                <w:szCs w:val="26"/>
              </w:rPr>
              <w:t xml:space="preserve"> сельсовета 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749" w:type="dxa"/>
            <w:gridSpan w:val="5"/>
            <w:tcBorders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4.Профилактический визит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49" w:type="dxa"/>
            <w:gridSpan w:val="2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  <w:tcBorders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2022 года</w:t>
            </w:r>
          </w:p>
        </w:tc>
        <w:tc>
          <w:tcPr>
            <w:tcW w:w="248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>
              <w:rPr>
                <w:sz w:val="26"/>
                <w:szCs w:val="26"/>
              </w:rPr>
              <w:t xml:space="preserve"> сельсовета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 Показатель результативности и эффективности программы профилактики рисков причинения вреда.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Реализация программы профилактики способствует: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Увеличению доли контролируемых лиц, соблюдающих обязательные требования законодательства при осуществлении деятельности на автомобильном транспорте и в дорожном хозяйстве.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2. Развитию системы профилактических мероприятий при осуществлении контроля, проводимых Администрацией Ащебутакский  сельсовета.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3.Повышению качества предоставляемых транспортных услуг.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>
      <w:pPr>
        <w:pStyle w:val="Normal"/>
        <w:numPr>
          <w:ilvl w:val="0"/>
          <w:numId w:val="0"/>
        </w:numPr>
        <w:ind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>
      <w:pPr>
        <w:pStyle w:val="Normal"/>
        <w:numPr>
          <w:ilvl w:val="0"/>
          <w:numId w:val="0"/>
        </w:numPr>
        <w:ind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5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1124"/>
        <w:gridCol w:w="886"/>
        <w:gridCol w:w="960"/>
      </w:tblGrid>
      <w:tr>
        <w:trPr>
          <w:trHeight w:val="270" w:hRule="atLeast"/>
        </w:trPr>
        <w:tc>
          <w:tcPr>
            <w:tcW w:w="6373" w:type="dxa"/>
            <w:vMerge w:val="restart"/>
            <w:tcBorders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Normal"/>
              <w:jc w:val="center"/>
              <w:rPr/>
            </w:pPr>
            <w:r>
              <w:rPr/>
              <w:t>Период, год</w:t>
            </w:r>
          </w:p>
        </w:tc>
      </w:tr>
      <w:tr>
        <w:trPr>
          <w:trHeight w:val="300" w:hRule="atLeast"/>
        </w:trPr>
        <w:tc>
          <w:tcPr>
            <w:tcW w:w="6373" w:type="dxa"/>
            <w:vMerge w:val="continue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24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8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1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в сфере муниципального контроля на автомобильном транспорте и в дорожном хозяйстве подконтрольными субъектами, (ед.)</w:t>
            </w:r>
          </w:p>
        </w:tc>
        <w:tc>
          <w:tcPr>
            <w:tcW w:w="11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контроля на автомобильном транспорте и в дорожном хозяйстве, (ед.)</w:t>
            </w:r>
          </w:p>
        </w:tc>
        <w:tc>
          <w:tcPr>
            <w:tcW w:w="11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3.</w:t>
      </w:r>
    </w:p>
    <w:p>
      <w:pPr>
        <w:pStyle w:val="Normal"/>
        <w:numPr>
          <w:ilvl w:val="0"/>
          <w:numId w:val="0"/>
        </w:numPr>
        <w:ind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>
      <w:pPr>
        <w:pStyle w:val="Normal"/>
        <w:numPr>
          <w:ilvl w:val="0"/>
          <w:numId w:val="0"/>
        </w:numPr>
        <w:ind w:firstLine="708"/>
        <w:jc w:val="right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Style w:val="a5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3"/>
        <w:gridCol w:w="1897"/>
        <w:gridCol w:w="1855"/>
        <w:gridCol w:w="1861"/>
        <w:gridCol w:w="1868"/>
      </w:tblGrid>
      <w:tr>
        <w:trPr/>
        <w:tc>
          <w:tcPr>
            <w:tcW w:w="186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89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60 % и менее</w:t>
            </w:r>
          </w:p>
        </w:tc>
        <w:tc>
          <w:tcPr>
            <w:tcW w:w="185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61-85 %</w:t>
            </w:r>
          </w:p>
        </w:tc>
        <w:tc>
          <w:tcPr>
            <w:tcW w:w="186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86-99 %</w:t>
            </w:r>
          </w:p>
        </w:tc>
        <w:tc>
          <w:tcPr>
            <w:tcW w:w="1868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и более</w:t>
            </w:r>
          </w:p>
        </w:tc>
      </w:tr>
      <w:tr>
        <w:trPr/>
        <w:tc>
          <w:tcPr>
            <w:tcW w:w="186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</w:t>
            </w:r>
          </w:p>
        </w:tc>
        <w:tc>
          <w:tcPr>
            <w:tcW w:w="189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5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</w:t>
            </w:r>
          </w:p>
        </w:tc>
        <w:tc>
          <w:tcPr>
            <w:tcW w:w="186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</w:t>
            </w:r>
          </w:p>
        </w:tc>
        <w:tc>
          <w:tcPr>
            <w:tcW w:w="1868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Эффективный</w:t>
            </w:r>
          </w:p>
        </w:tc>
      </w:tr>
    </w:tbl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3bf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86063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860635"/>
    <w:rPr>
      <w:i/>
      <w:iCs/>
      <w:color w:val="404040" w:themeColor="text1" w:themeTint="b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860635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60635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8e2776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8606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LibreOffice/6.4.3.2$Windows_x86 LibreOffice_project/747b5d0ebf89f41c860ec2a39efd7cb15b54f2d8</Application>
  <Pages>8</Pages>
  <Words>1459</Words>
  <Characters>11797</Characters>
  <CharactersWithSpaces>13460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2021-12-29T04:54:00Z</dcterms:created>
  <dc:creator>specialist</dc:creator>
  <dc:description/>
  <dc:language>ru-RU</dc:language>
  <cp:lastModifiedBy/>
  <cp:lastPrinted>2022-02-08T10:47:20Z</cp:lastPrinted>
  <dcterms:modified xsi:type="dcterms:W3CDTF">2022-02-08T10:47:31Z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