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Style21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28.06.2018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>46-п</w:t>
      </w:r>
    </w:p>
    <w:p>
      <w:pPr>
        <w:pStyle w:val="Style21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__DdeLink__5960_390156910"/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Ащебутакского сельсовета от 27.03.2018 № 23-п «Об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br/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ст. 11 Федерального закона от 27.07.2010 N 210-ФЗ "Об организации предоставления государственных и муниципальных услуг", руководствуясь Федеральным  законом от 06.10.2003 года № 131-ФЗ «Об общих принципах организации местного самоуправления в Российской Федерации», Уставом муниципального образования Ащебутакский сельсовет  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1. Административный  регламент 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администрацией муниципального образования Ащебутакский сельсовет Домбаровского района Оренбургской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изложить в новой редакции,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   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3.  Постановление вступает в силу со дня его подписания, подлежит  обнародованию и размещению на официальном сайте муниципального образования Ащебутакский сельсовет Домбаровского района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i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      К.М. Кибатаев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в дело, райадминистрации, райпрокурору.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 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Ащебутакского сельсовета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регулирования регламента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Круг заявителей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Наименование органа местного самоуправления: Администрация Муниципального образования Ащебутакский сельсовет Домбаровского района Оренбургской области  (далее – Орган местного самоуправления)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462700, Оренбургская область, Домбаровский район, село Ащебутак, улица Специалистов, дом 1 </w:t>
      </w:r>
    </w:p>
    <w:p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ashebutak</w:t>
      </w:r>
      <w:r>
        <w:rPr>
          <w:rFonts w:cs="Times New Roman" w:ascii="Times New Roman" w:hAnsi="Times New Roman"/>
          <w:sz w:val="28"/>
          <w:szCs w:val="28"/>
        </w:rPr>
        <w:t>.2011@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rFonts w:cs="Times New Roman" w:ascii="Times New Roman" w:hAnsi="Times New Roman"/>
          <w:sz w:val="28"/>
          <w:szCs w:val="28"/>
          <w:lang w:val="en-US"/>
        </w:rPr>
        <w:t>ashchebutak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 Органа местного самоуправления: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пятница: 8.30 – 17.00</w:t>
      </w:r>
    </w:p>
    <w:p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обеденный перерыв: 12.30 — 14.00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выходные дни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«Интернет», на информационных стендах в залах приёма заявителей в органе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</w:t>
      </w:r>
      <w:bookmarkStart w:id="2" w:name="__DdeLink__20141_4195087857"/>
      <w:bookmarkEnd w:id="2"/>
      <w:r>
        <w:rPr>
          <w:rFonts w:cs="Times New Roman" w:ascii="Times New Roman" w:hAnsi="Times New Roman"/>
          <w:sz w:val="28"/>
          <w:szCs w:val="28"/>
        </w:rPr>
        <w:t>информационных стендах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Информация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(при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 указывается на официальном сайте органа местного самоуправления и информационных стендах органа местного самоуправления.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блок-схема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категория получателей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образец заявления для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основания отказа в предоставлении муниципальной услуги.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>
        <w:rPr>
          <w:rFonts w:eastAsia="Calibri" w:eastAsiaTheme="minorHAnsi"/>
          <w:sz w:val="28"/>
          <w:szCs w:val="28"/>
          <w:lang w:eastAsia="en-US"/>
        </w:rPr>
        <w:t xml:space="preserve"> в электронной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Портал).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Муниципальная услуга носит заявительный порядок обращения.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Межрайонная инспекция федеральной налоговой службы России № 10 по Оренбургской области;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МФЦ (при наличии Соглашения </w:t>
      </w:r>
      <w:r>
        <w:rPr>
          <w:sz w:val="28"/>
          <w:szCs w:val="28"/>
        </w:rPr>
        <w:t>о взаимодействии</w:t>
      </w:r>
      <w:r>
        <w:rPr>
          <w:rFonts w:eastAsia="Calibri" w:eastAsiaTheme="minorHAnsi"/>
          <w:sz w:val="28"/>
          <w:szCs w:val="28"/>
          <w:lang w:eastAsia="en-US"/>
        </w:rPr>
        <w:t>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Результатом предоставления муниципальной услуги является: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widowControl w:val="false"/>
        <w:tabs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>
      <w:pPr>
        <w:pStyle w:val="ListParagraph"/>
        <w:widowControl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подачи заявления в электронной форме через Портал: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случае подачи заявления лично в орган (организацию):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>
      <w:pPr>
        <w:pStyle w:val="Normal"/>
        <w:widowControl w:val="false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left" w:pos="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(«Российская газета», 25.12.1993, № 237);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Земельным </w:t>
      </w:r>
      <w:hyperlink r:id="rId2">
        <w:r>
          <w:rPr>
            <w:rStyle w:val="Style17"/>
            <w:bCs/>
            <w:color w:val="0000FF"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8) Федеральным </w:t>
      </w:r>
      <w:hyperlink r:id="rId3">
        <w:r>
          <w:rPr>
            <w:rStyle w:val="Style17"/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Законом Оренбургской области от 16.03.2007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>
        <w:rPr>
          <w:sz w:val="28"/>
          <w:szCs w:val="28"/>
        </w:rPr>
        <w:t>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10) Постановлением Правительства Оренбургской области </w:t>
      </w:r>
      <w:r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4">
        <w:r>
          <w:rPr>
            <w:rStyle w:val="Style17"/>
            <w:sz w:val="28"/>
            <w:szCs w:val="28"/>
            <w:lang w:val="en-US"/>
          </w:rPr>
          <w:t>http</w:t>
        </w:r>
        <w:r>
          <w:rPr>
            <w:rStyle w:val="Style17"/>
            <w:sz w:val="28"/>
            <w:szCs w:val="28"/>
          </w:rPr>
          <w:t>://</w:t>
        </w:r>
        <w:r>
          <w:rPr>
            <w:rStyle w:val="Style17"/>
            <w:sz w:val="28"/>
            <w:szCs w:val="28"/>
            <w:lang w:val="en-US"/>
          </w:rPr>
          <w:t>www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pravo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gov</w:t>
        </w:r>
        <w:r>
          <w:rPr>
            <w:rStyle w:val="Style17"/>
            <w:sz w:val="28"/>
            <w:szCs w:val="28"/>
          </w:rPr>
          <w:t>.</w:t>
        </w:r>
        <w:r>
          <w:rPr>
            <w:rStyle w:val="Style1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29.01.2016);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13) </w:t>
      </w:r>
      <w:r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14) Уставом муниципального образования;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настоящим Административным регламентом;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иными нормативными правовыми актами.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которые заявитель должен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2) документы, удостоверяющие личность гражданина 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);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left" w:pos="709" w:leader="none"/>
        </w:tabs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в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 целью получения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Заявитель вправе представить документы следующими способами:</w:t>
      </w:r>
    </w:p>
    <w:p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посредством личного обращения;</w:t>
      </w:r>
    </w:p>
    <w:p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почтовым отправлением;</w:t>
      </w:r>
    </w:p>
    <w:p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электронном виде через Портал;</w:t>
      </w:r>
    </w:p>
    <w:p>
      <w:pPr>
        <w:pStyle w:val="ConsPlusNormal"/>
        <w:ind w:left="567" w:firstLine="142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через МФЦ (при наличии Соглашения о взаимодействии).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Par2"/>
      <w:bookmarkStart w:id="4" w:name="Par0"/>
      <w:bookmarkStart w:id="5" w:name="P157"/>
      <w:bookmarkEnd w:id="3"/>
      <w:bookmarkEnd w:id="4"/>
      <w:bookmarkEnd w:id="5"/>
      <w:r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>
      <w:pPr>
        <w:pStyle w:val="Normal"/>
        <w:widowControl w:val="false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>
      <w:pPr>
        <w:pStyle w:val="Normal"/>
        <w:widowControl w:val="false"/>
        <w:numPr>
          <w:ilvl w:val="0"/>
          <w:numId w:val="2"/>
        </w:numPr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bookmarkStart w:id="6" w:name="sub_1003"/>
      <w:bookmarkStart w:id="7" w:name="sub_1007"/>
      <w:bookmarkEnd w:id="7"/>
      <w:r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8" w:name="sub_1007"/>
      <w:bookmarkStart w:id="9" w:name="sub_1071"/>
      <w:bookmarkEnd w:id="8"/>
      <w:bookmarkEnd w:id="9"/>
      <w:r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0" w:name="sub_1071"/>
      <w:bookmarkStart w:id="11" w:name="sub_1072"/>
      <w:bookmarkEnd w:id="10"/>
      <w:bookmarkEnd w:id="11"/>
      <w:r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2" w:name="sub_1072"/>
      <w:bookmarkStart w:id="13" w:name="sub_1073"/>
      <w:bookmarkEnd w:id="12"/>
      <w:bookmarkEnd w:id="13"/>
      <w:r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4" w:name="sub_1073"/>
      <w:bookmarkStart w:id="15" w:name="sub_1074"/>
      <w:bookmarkEnd w:id="14"/>
      <w:r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6" w:name="sub_1074"/>
      <w:bookmarkStart w:id="17" w:name="sub_1010"/>
      <w:bookmarkEnd w:id="16"/>
      <w:r>
        <w:rPr>
          <w:sz w:val="28"/>
          <w:szCs w:val="28"/>
        </w:rPr>
        <w:t>3) Документы в электронном виде подписываются квалифицированной ЭП.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8" w:name="sub_1003"/>
      <w:r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8"/>
      <w:bookmarkEnd w:id="17"/>
      <w:r>
        <w:rPr>
          <w:sz w:val="28"/>
          <w:szCs w:val="28"/>
        </w:rPr>
        <w:t>.</w:t>
      </w:r>
    </w:p>
    <w:p>
      <w:pPr>
        <w:pStyle w:val="ConsPlusNormal"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6"/>
      <w:bookmarkEnd w:id="19"/>
      <w:r>
        <w:rPr>
          <w:rFonts w:cs="Times New Roman" w:ascii="Times New Roman" w:hAnsi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предоставления муниципальной услуги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____________________________________________________________________</w:t>
      </w:r>
    </w:p>
    <w:p>
      <w:pPr>
        <w:pStyle w:val="ConsPlusNormal"/>
        <w:ind w:firstLine="1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rmal"/>
        <w:ind w:firstLine="16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(указывается при наличии соответствующего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Муниципальная услуга предоставляется без взимания платы.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залу ожидания, информационным стендам, необходимым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для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cs="Times New Roman" w:ascii="Times New Roman" w:hAnsi="Times New Roman"/>
          <w:sz w:val="28"/>
          <w:szCs w:val="28"/>
        </w:rPr>
        <w:t>писчая бумага, ручка).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средства связи и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отсутствие очередей при приёме (выдаче) документов;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отсутствие нарушений сроков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и документов, их  регистрация;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Ащебутакский сельсовет, многофункциональный центр для подачи запроса о предоставлении услуги (далее - запрос);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приём и регистрация органом местного самоуправления Ащебутакский сельсовет запроса и иных документов, необходимых для предоставления услуги;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5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блок-схемой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Приём заявления и документов, их регистрация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50. О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eastAsia="Calibri"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6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пункте 20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>
      <w:pPr>
        <w:pStyle w:val="Normal"/>
        <w:widowControl w:val="false"/>
        <w:ind w:firstLine="72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b/>
          <w:color w:val="FF0000"/>
          <w:sz w:val="28"/>
          <w:szCs w:val="28"/>
          <w:lang w:eastAsia="en-US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rFonts w:cs="Times New Roman" w:ascii="Times New Roman" w:hAnsi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61. </w:t>
      </w:r>
      <w:r>
        <w:rPr>
          <w:rFonts w:eastAsia="Calibri"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7">
        <w:r>
          <w:rPr>
            <w:rStyle w:val="Style17"/>
            <w:rFonts w:eastAsia="Calibri" w:eastAsiaTheme="minorHAnsi"/>
            <w:color w:val="0000FF"/>
            <w:sz w:val="28"/>
            <w:szCs w:val="28"/>
            <w:lang w:eastAsia="en-US"/>
          </w:rPr>
          <w:t>кодексе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64. </w:t>
      </w:r>
      <w:r>
        <w:rPr>
          <w:rFonts w:eastAsia="Calibri"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bookmarkStart w:id="20" w:name="Par8"/>
      <w:bookmarkEnd w:id="20"/>
      <w:r>
        <w:rPr>
          <w:rFonts w:eastAsia="Calibri"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>
      <w:pPr>
        <w:pStyle w:val="Normal"/>
        <w:widowControl w:val="false"/>
        <w:ind w:firstLine="72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 xml:space="preserve"> (мотивированный отказ в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выдаче</w:t>
      </w:r>
      <w:r>
        <w:rPr>
          <w:rFonts w:cs="Times New Roman" w:ascii="Times New Roman" w:hAnsi="Times New Roman"/>
          <w:sz w:val="28"/>
          <w:szCs w:val="28"/>
        </w:rPr>
        <w:t xml:space="preserve">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72.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Уведомление заявителя о принятом решении осуществляется у</w:t>
      </w:r>
      <w:r>
        <w:rPr>
          <w:rFonts w:cs="Times New Roman" w:ascii="Times New Roman" w:hAnsi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мотивированный отказ в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выдаче</w:t>
      </w:r>
      <w:r>
        <w:rPr>
          <w:rFonts w:cs="Times New Roman" w:ascii="Times New Roman" w:hAnsi="Times New Roman"/>
          <w:sz w:val="28"/>
          <w:szCs w:val="28"/>
        </w:rPr>
        <w:t xml:space="preserve"> разре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шения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 направляются в личный кабинет заявителя).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8"/>
          <w:szCs w:val="28"/>
          <w:lang w:eastAsia="en-US"/>
        </w:rPr>
        <w:t>в МФЦ</w:t>
      </w:r>
      <w:r>
        <w:rPr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bookmarkStart w:id="21" w:name="P385"/>
      <w:bookmarkEnd w:id="21"/>
      <w:r>
        <w:rPr>
          <w:rFonts w:cs="Times New Roman"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22" w:name="_GoBack"/>
      <w:bookmarkEnd w:id="22"/>
      <w:r>
        <w:rPr>
          <w:rFonts w:cs="Times New Roman" w:ascii="Times New Roman" w:hAnsi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23" w:name="sub_4066"/>
      <w:bookmarkEnd w:id="23"/>
      <w:r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>
      <w:pPr>
        <w:pStyle w:val="Normal"/>
        <w:ind w:left="284" w:firstLine="283"/>
        <w:jc w:val="both"/>
        <w:rPr/>
      </w:pPr>
      <w:bookmarkStart w:id="24" w:name="sub_4066"/>
      <w:bookmarkStart w:id="25" w:name="sub_4661"/>
      <w:bookmarkEnd w:id="24"/>
      <w:r>
        <w:rPr>
          <w:sz w:val="28"/>
          <w:szCs w:val="28"/>
        </w:rPr>
        <w:t xml:space="preserve">1) </w:t>
      </w:r>
      <w:bookmarkEnd w:id="25"/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>
        <w:r>
          <w:rPr>
            <w:rStyle w:val="Style17"/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>
        <w:r>
          <w:rPr>
            <w:rStyle w:val="Style17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>
        <w:r>
          <w:rPr>
            <w:rStyle w:val="Style17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>
        <w:r>
          <w:rPr>
            <w:rStyle w:val="Style17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>
        <w:r>
          <w:rPr>
            <w:rStyle w:val="Style17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№210-ФЗ.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>
        <w:r>
          <w:rPr>
            <w:rStyle w:val="Style17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№ 210-ФЗ.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6" w:name="sub_4667"/>
      <w:bookmarkStart w:id="27" w:name="sub_4667"/>
      <w:bookmarkEnd w:id="27"/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eastAsia="Calibri" w:eastAsiaTheme="minorHAnsi"/>
          <w:bCs/>
          <w:sz w:val="28"/>
          <w:szCs w:val="28"/>
          <w:lang w:eastAsia="en-US"/>
        </w:rPr>
        <w:t>Ащебутакский сельсовет</w:t>
      </w:r>
      <w:r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>
        <w:rPr>
          <w:rFonts w:eastAsia="Calibri" w:eastAsiaTheme="minorHAnsi"/>
          <w:bCs/>
          <w:sz w:val="28"/>
          <w:szCs w:val="28"/>
          <w:lang w:eastAsia="en-US"/>
        </w:rPr>
        <w:t>Ащебутакский сельсовет</w:t>
      </w:r>
      <w:r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86. Жалоба должна содержать: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8" w:name="sub_4681"/>
      <w:bookmarkEnd w:id="28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9" w:name="sub_4681"/>
      <w:bookmarkStart w:id="30" w:name="sub_4682"/>
      <w:bookmarkEnd w:id="29"/>
      <w:bookmarkEnd w:id="30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31" w:name="sub_4682"/>
      <w:bookmarkStart w:id="32" w:name="sub_4683"/>
      <w:bookmarkEnd w:id="31"/>
      <w:r>
        <w:rPr>
          <w:sz w:val="28"/>
          <w:szCs w:val="28"/>
        </w:rPr>
        <w:t>3) сведения об обжалуемых решениях и действиях (бездействии)</w:t>
      </w:r>
      <w:bookmarkEnd w:id="32"/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33" w:name="sub_4684"/>
      <w:bookmarkEnd w:id="33"/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Органы  местного самоуправления</w:t>
        <w:br/>
        <w:t>и уполномоченные на рассмотрение жалобы должностные лица,</w:t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eastAsia="en-US"/>
        </w:rPr>
        <w:t xml:space="preserve">87. Жалоба рассматривается органом местного самоуправления </w:t>
      </w:r>
      <w:r>
        <w:rPr>
          <w:rFonts w:eastAsia="Calibri" w:eastAsiaTheme="minorHAnsi"/>
          <w:bCs/>
          <w:sz w:val="28"/>
          <w:szCs w:val="28"/>
          <w:lang w:eastAsia="en-US"/>
        </w:rPr>
        <w:t>Ащебутакский сельсовет</w:t>
      </w:r>
      <w:r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>
        <w:r>
          <w:rPr>
            <w:rStyle w:val="Style17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подаются руководителям этих организаций.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bookmarkStart w:id="34" w:name="Par11"/>
      <w:bookmarkEnd w:id="34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8"/>
          <w:szCs w:val="28"/>
        </w:rPr>
        <w:t xml:space="preserve">предусмотренных </w:t>
      </w:r>
      <w:hyperlink r:id="rId15">
        <w:r>
          <w:rPr>
            <w:rStyle w:val="Style17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>
        <w:rPr>
          <w:sz w:val="28"/>
          <w:szCs w:val="28"/>
        </w:rPr>
        <w:t xml:space="preserve">. </w:t>
      </w:r>
    </w:p>
    <w:p>
      <w:pPr>
        <w:pStyle w:val="Normal"/>
        <w:spacing w:before="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89. </w:t>
      </w:r>
      <w:r>
        <w:rPr>
          <w:rFonts w:eastAsia="Calibri"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>
        <w:r>
          <w:rPr>
            <w:rStyle w:val="Style17"/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93. </w:t>
      </w:r>
      <w:r>
        <w:rPr>
          <w:rFonts w:eastAsia="Calibri"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hyperlink r:id="rId17">
        <w:r>
          <w:rPr>
            <w:rStyle w:val="Style17"/>
            <w:rFonts w:eastAsia="Calibri" w:eastAsiaTheme="minorHAnsi"/>
            <w:sz w:val="28"/>
            <w:szCs w:val="28"/>
            <w:lang w:eastAsia="en-US"/>
          </w:rPr>
          <w:t>статьей 5.63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>
        <w:rPr>
          <w:sz w:val="28"/>
          <w:szCs w:val="28"/>
        </w:rPr>
        <w:t xml:space="preserve">предусмотренные </w:t>
      </w:r>
      <w:hyperlink r:id="rId18">
        <w:r>
          <w:rPr>
            <w:rStyle w:val="Style17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№ 210-ФЗ, </w:t>
      </w:r>
      <w:r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>
      <w:pPr>
        <w:pStyle w:val="Normal"/>
        <w:ind w:firstLine="54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>
      <w:pPr>
        <w:pStyle w:val="Normal"/>
        <w:spacing w:before="280" w:after="0"/>
        <w:ind w:firstLine="540"/>
        <w:contextualSpacing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в удовлетворении жалобы отказывается.</w:t>
      </w:r>
    </w:p>
    <w:p>
      <w:pPr>
        <w:pStyle w:val="Normal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firstLine="540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7"/>
            <w:bCs/>
            <w:sz w:val="28"/>
            <w:szCs w:val="28"/>
            <w:lang w:eastAsia="en-US"/>
          </w:rPr>
          <w:t>пункте</w:t>
        </w:r>
      </w:hyperlink>
      <w:r>
        <w:rPr>
          <w:bCs/>
          <w:sz w:val="28"/>
          <w:szCs w:val="28"/>
          <w:lang w:eastAsia="en-US"/>
        </w:rPr>
        <w:t xml:space="preserve"> 95 Административного регламента.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97. </w:t>
      </w:r>
      <w:r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98. </w:t>
      </w:r>
      <w:r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>
      <w:pPr>
        <w:pStyle w:val="Normal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>
      <w:pPr>
        <w:pStyle w:val="Normal"/>
        <w:ind w:firstLine="540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_________________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>Приложение №1 к Административному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5496" w:leader="none"/>
          <w:tab w:val="left" w:pos="6379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6663"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/>
        <w:tc>
          <w:tcPr>
            <w:tcW w:w="10314" w:type="dxa"/>
            <w:tcBorders/>
            <w:shd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органа местного самоуправления: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>
        <w:trPr/>
        <w:tc>
          <w:tcPr>
            <w:tcW w:w="10314" w:type="dxa"/>
            <w:tcBorders/>
            <w:shd w:fill="auto" w:val="clear"/>
          </w:tcPr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заявителе: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(вид документа, серия, номер)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(кем, когда выдан) - для физических лиц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 (ОГРНИП) 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Контактная информация: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 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эл. почта 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нахождения (регистрации):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________________________________________________________________________________</w:t>
            </w:r>
          </w:p>
          <w:p>
            <w:pPr>
              <w:pStyle w:val="ConsPlusNonformat"/>
              <w:ind w:left="4395" w:right="3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СНИЛС ___-___-___-__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подтвердить регистрацию учетной записи в ЕСИА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восстановить доступ в ЕСИА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3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2"/>
        <w:gridCol w:w="422"/>
        <w:gridCol w:w="2530"/>
        <w:gridCol w:w="560"/>
        <w:gridCol w:w="3196"/>
      </w:tblGrid>
      <w:tr>
        <w:trPr/>
        <w:tc>
          <w:tcPr>
            <w:tcW w:w="362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22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0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6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  <w:tab/>
        <w:tab/>
        <w:tab/>
        <w:tab/>
        <w:tab/>
        <w:tab/>
        <w:tab/>
        <w:t xml:space="preserve">«____» ___________ 20___ г.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Административному</w:t>
      </w:r>
    </w:p>
    <w:p>
      <w:pPr>
        <w:pStyle w:val="Normal"/>
        <w:widowControl w:val="false"/>
        <w:ind w:firstLine="652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регламенту</w:t>
      </w:r>
    </w:p>
    <w:p>
      <w:pPr>
        <w:pStyle w:val="Normal"/>
        <w:widowControl w:val="false"/>
        <w:ind w:firstLine="709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Блок-схема </w:t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>
      <w:pPr>
        <w:pStyle w:val="Normal"/>
        <w:widowControl w:val="false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1"/>
        <w:gridCol w:w="426"/>
        <w:gridCol w:w="1134"/>
        <w:gridCol w:w="708"/>
        <w:gridCol w:w="994"/>
        <w:gridCol w:w="425"/>
        <w:gridCol w:w="2942"/>
      </w:tblGrid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7620</wp:posOffset>
                      </wp:positionV>
                      <wp:extent cx="10160" cy="381635"/>
                      <wp:effectExtent l="0" t="0" r="0" b="0"/>
                      <wp:wrapNone/>
                      <wp:docPr id="1" name="Прямая со стрелко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60" cy="380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Прямая со стрелкой 2" stroked="t" style="position:absolute;margin-left:67.15pt;margin-top:0.6pt;width:0.7pt;height:29.95pt;flip:x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1270" cy="381635"/>
                      <wp:effectExtent l="0" t="0" r="0" b="0"/>
                      <wp:wrapNone/>
                      <wp:docPr id="2" name="Прямая со стрелко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3" stroked="t" style="position:absolute;margin-left:234.45pt;margin-top:0.6pt;width:0pt;height:29.9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1270" cy="381635"/>
                      <wp:effectExtent l="0" t="0" r="0" b="0"/>
                      <wp:wrapNone/>
                      <wp:docPr id="3" name="Прямая со стрелко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4" stroked="t" style="position:absolute;margin-left:387.45pt;margin-top:0.6pt;width:0pt;height:29.9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860" cy="10160"/>
                      <wp:effectExtent l="0" t="0" r="0" b="0"/>
                      <wp:wrapNone/>
                      <wp:docPr id="4" name="Прямая со стрелко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20" cy="9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6" stroked="t" style="position:absolute;margin-left:140.7pt;margin-top:15.55pt;width:21.7pt;height:0.7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ФЦ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6385" cy="1270"/>
                      <wp:effectExtent l="0" t="0" r="0" b="0"/>
                      <wp:wrapNone/>
                      <wp:docPr id="5" name="Прямая со стрелко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8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8" stroked="t" style="position:absolute;margin-left:135pt;margin-top:15.55pt;width:22.45pt;height:0pt;flip:x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 местного самоуправления </w:t>
            </w: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>
        <w:trPr/>
        <w:tc>
          <w:tcPr>
            <w:tcW w:w="9570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-2540</wp:posOffset>
                      </wp:positionV>
                      <wp:extent cx="1270" cy="400685"/>
                      <wp:effectExtent l="0" t="0" r="0" b="0"/>
                      <wp:wrapNone/>
                      <wp:docPr id="6" name="Прямая со стрелко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9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7" stroked="t" style="position:absolute;margin-left:234.45pt;margin-top:-0.2pt;width:0pt;height:31.4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1270" cy="391160"/>
                      <wp:effectExtent l="0" t="0" r="0" b="0"/>
                      <wp:wrapNone/>
                      <wp:docPr id="7" name="Прямая со стрелко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9" stroked="t" style="position:absolute;margin-left:234.45pt;margin-top:-0.25pt;width:0pt;height:30.7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1270" cy="381635"/>
                      <wp:effectExtent l="0" t="0" r="0" b="0"/>
                      <wp:wrapNone/>
                      <wp:docPr id="8" name="Прямая со стрелко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808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0" stroked="t" style="position:absolute;margin-left:234.45pt;margin-top:0.55pt;width:0pt;height:29.9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>
              <w:rPr>
                <w:sz w:val="28"/>
                <w:szCs w:val="28"/>
              </w:rPr>
              <w:t xml:space="preserve"> информационного</w:t>
            </w:r>
            <w:r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-3175</wp:posOffset>
                      </wp:positionV>
                      <wp:extent cx="1270" cy="400685"/>
                      <wp:effectExtent l="0" t="0" r="0" b="0"/>
                      <wp:wrapNone/>
                      <wp:docPr id="9" name="Прямая со стрелко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9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1" stroked="t" style="position:absolute;margin-left:109.95pt;margin-top:-0.25pt;width:0pt;height:31.4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-3175</wp:posOffset>
                      </wp:positionV>
                      <wp:extent cx="10160" cy="400685"/>
                      <wp:effectExtent l="0" t="0" r="0" b="0"/>
                      <wp:wrapNone/>
                      <wp:docPr id="10" name="Прямая со стрелко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399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2" stroked="t" style="position:absolute;margin-left:351.45pt;margin-top:-0.25pt;width:0.7pt;height:31.45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4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>
        <w:trPr/>
        <w:tc>
          <w:tcPr>
            <w:tcW w:w="9570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1270" cy="391160"/>
                      <wp:effectExtent l="0" t="0" r="0" b="0"/>
                      <wp:wrapNone/>
                      <wp:docPr id="11" name="Прямая со стрелко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90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3" stroked="t" style="position:absolute;margin-left:109.95pt;margin-top:0.6pt;width:0pt;height:30.7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10160" cy="391160"/>
                      <wp:effectExtent l="0" t="0" r="0" b="0"/>
                      <wp:wrapNone/>
                      <wp:docPr id="12" name="Прямая со стрелко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390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tailEnd len="med" type="arrow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14" stroked="t" style="position:absolute;margin-left:351.45pt;margin-top:0.6pt;width:0.7pt;height:30.7pt" type="shapetype_32">
                      <w10:wrap type="none"/>
                      <v:fill o:detectmouseclick="t" on="false"/>
                      <v:stroke color="#4a7ebb" endarrow="open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720"/>
              <w:jc w:val="center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ind w:firstLine="72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lang w:eastAsia="ar-SA"/>
        </w:rPr>
      </w:pPr>
      <w:r>
        <w:rPr>
          <w:lang w:eastAsia="ar-SA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/>
      </w:pPr>
      <w:r>
        <w:rPr/>
      </w:r>
    </w:p>
    <w:sectPr>
      <w:type w:val="nextPage"/>
      <w:pgSz w:w="12240" w:h="15840"/>
      <w:pgMar w:left="1560" w:right="567" w:header="0" w:top="1134" w:footer="0" w:bottom="1134" w:gutter="0"/>
      <w:pgNumType w:start="29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53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5a453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сноски Знак"/>
    <w:basedOn w:val="DefaultParagraphFont"/>
    <w:semiHidden/>
    <w:qFormat/>
    <w:rsid w:val="005a453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a4539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901440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7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9"/>
    <w:uiPriority w:val="99"/>
    <w:qFormat/>
    <w:rsid w:val="005a45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a4539"/>
    <w:rPr/>
  </w:style>
  <w:style w:type="character" w:styleId="ListLabel1" w:customStyle="1">
    <w:name w:val="ListLabel 1"/>
    <w:qFormat/>
    <w:rsid w:val="00f74472"/>
    <w:rPr>
      <w:sz w:val="20"/>
    </w:rPr>
  </w:style>
  <w:style w:type="character" w:styleId="ListLabel2" w:customStyle="1">
    <w:name w:val="ListLabel 2"/>
    <w:qFormat/>
    <w:rsid w:val="00f74472"/>
    <w:rPr>
      <w:sz w:val="20"/>
    </w:rPr>
  </w:style>
  <w:style w:type="character" w:styleId="ListLabel3" w:customStyle="1">
    <w:name w:val="ListLabel 3"/>
    <w:qFormat/>
    <w:rsid w:val="00f74472"/>
    <w:rPr>
      <w:sz w:val="20"/>
    </w:rPr>
  </w:style>
  <w:style w:type="character" w:styleId="ListLabel4" w:customStyle="1">
    <w:name w:val="ListLabel 4"/>
    <w:qFormat/>
    <w:rsid w:val="00f74472"/>
    <w:rPr>
      <w:sz w:val="20"/>
    </w:rPr>
  </w:style>
  <w:style w:type="character" w:styleId="ListLabel5" w:customStyle="1">
    <w:name w:val="ListLabel 5"/>
    <w:qFormat/>
    <w:rsid w:val="00f74472"/>
    <w:rPr>
      <w:sz w:val="20"/>
    </w:rPr>
  </w:style>
  <w:style w:type="character" w:styleId="ListLabel6" w:customStyle="1">
    <w:name w:val="ListLabel 6"/>
    <w:qFormat/>
    <w:rsid w:val="00f74472"/>
    <w:rPr>
      <w:sz w:val="20"/>
    </w:rPr>
  </w:style>
  <w:style w:type="character" w:styleId="ListLabel7" w:customStyle="1">
    <w:name w:val="ListLabel 7"/>
    <w:qFormat/>
    <w:rsid w:val="00f74472"/>
    <w:rPr>
      <w:sz w:val="20"/>
    </w:rPr>
  </w:style>
  <w:style w:type="character" w:styleId="ListLabel8" w:customStyle="1">
    <w:name w:val="ListLabel 8"/>
    <w:qFormat/>
    <w:rsid w:val="00f74472"/>
    <w:rPr>
      <w:sz w:val="20"/>
    </w:rPr>
  </w:style>
  <w:style w:type="character" w:styleId="ListLabel9" w:customStyle="1">
    <w:name w:val="ListLabel 9"/>
    <w:qFormat/>
    <w:rsid w:val="00f74472"/>
    <w:rPr>
      <w:sz w:val="20"/>
    </w:rPr>
  </w:style>
  <w:style w:type="character" w:styleId="ListLabel10" w:customStyle="1">
    <w:name w:val="ListLabel 10"/>
    <w:qFormat/>
    <w:rsid w:val="00f74472"/>
    <w:rPr>
      <w:sz w:val="20"/>
    </w:rPr>
  </w:style>
  <w:style w:type="character" w:styleId="ListLabel11" w:customStyle="1">
    <w:name w:val="ListLabel 11"/>
    <w:qFormat/>
    <w:rsid w:val="00f74472"/>
    <w:rPr>
      <w:sz w:val="20"/>
    </w:rPr>
  </w:style>
  <w:style w:type="character" w:styleId="ListLabel12" w:customStyle="1">
    <w:name w:val="ListLabel 12"/>
    <w:qFormat/>
    <w:rsid w:val="00f74472"/>
    <w:rPr>
      <w:sz w:val="20"/>
    </w:rPr>
  </w:style>
  <w:style w:type="character" w:styleId="ListLabel13" w:customStyle="1">
    <w:name w:val="ListLabel 13"/>
    <w:qFormat/>
    <w:rsid w:val="00f74472"/>
    <w:rPr>
      <w:sz w:val="20"/>
    </w:rPr>
  </w:style>
  <w:style w:type="character" w:styleId="ListLabel14" w:customStyle="1">
    <w:name w:val="ListLabel 14"/>
    <w:qFormat/>
    <w:rsid w:val="00f74472"/>
    <w:rPr>
      <w:sz w:val="20"/>
    </w:rPr>
  </w:style>
  <w:style w:type="character" w:styleId="ListLabel15" w:customStyle="1">
    <w:name w:val="ListLabel 15"/>
    <w:qFormat/>
    <w:rsid w:val="00f74472"/>
    <w:rPr>
      <w:sz w:val="20"/>
    </w:rPr>
  </w:style>
  <w:style w:type="character" w:styleId="ListLabel16" w:customStyle="1">
    <w:name w:val="ListLabel 16"/>
    <w:qFormat/>
    <w:rsid w:val="00f74472"/>
    <w:rPr>
      <w:sz w:val="20"/>
    </w:rPr>
  </w:style>
  <w:style w:type="character" w:styleId="ListLabel17" w:customStyle="1">
    <w:name w:val="ListLabel 17"/>
    <w:qFormat/>
    <w:rsid w:val="00f74472"/>
    <w:rPr>
      <w:sz w:val="20"/>
    </w:rPr>
  </w:style>
  <w:style w:type="character" w:styleId="ListLabel18" w:customStyle="1">
    <w:name w:val="ListLabel 18"/>
    <w:qFormat/>
    <w:rsid w:val="00f74472"/>
    <w:rPr>
      <w:sz w:val="20"/>
    </w:rPr>
  </w:style>
  <w:style w:type="character" w:styleId="ListLabel19" w:customStyle="1">
    <w:name w:val="ListLabel 19"/>
    <w:qFormat/>
    <w:rsid w:val="00f74472"/>
    <w:rPr>
      <w:rFonts w:cs="Courier New"/>
    </w:rPr>
  </w:style>
  <w:style w:type="character" w:styleId="ListLabel20" w:customStyle="1">
    <w:name w:val="ListLabel 20"/>
    <w:qFormat/>
    <w:rsid w:val="00f74472"/>
    <w:rPr>
      <w:rFonts w:cs="Courier New"/>
    </w:rPr>
  </w:style>
  <w:style w:type="character" w:styleId="ListLabel21" w:customStyle="1">
    <w:name w:val="ListLabel 21"/>
    <w:qFormat/>
    <w:rsid w:val="00f74472"/>
    <w:rPr>
      <w:rFonts w:cs="Courier New"/>
    </w:rPr>
  </w:style>
  <w:style w:type="character" w:styleId="11" w:customStyle="1">
    <w:name w:val="Верхний колонтитул Знак1"/>
    <w:basedOn w:val="DefaultParagraphFont"/>
    <w:link w:val="a7"/>
    <w:uiPriority w:val="99"/>
    <w:semiHidden/>
    <w:qFormat/>
    <w:rsid w:val="009014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link w:val="a9"/>
    <w:uiPriority w:val="99"/>
    <w:semiHidden/>
    <w:qFormat/>
    <w:rsid w:val="009014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Style20" w:customStyle="1">
    <w:name w:val="Заголовок"/>
    <w:basedOn w:val="Normal"/>
    <w:next w:val="Style21"/>
    <w:qFormat/>
    <w:rsid w:val="00f7447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f74472"/>
    <w:pPr>
      <w:spacing w:lineRule="auto" w:line="288" w:before="0" w:after="140"/>
    </w:pPr>
    <w:rPr/>
  </w:style>
  <w:style w:type="paragraph" w:styleId="Style22">
    <w:name w:val="List"/>
    <w:basedOn w:val="Style21"/>
    <w:rsid w:val="00f74472"/>
    <w:pPr/>
    <w:rPr>
      <w:rFonts w:cs="Mangal"/>
    </w:rPr>
  </w:style>
  <w:style w:type="paragraph" w:styleId="Style23" w:customStyle="1">
    <w:name w:val="Caption"/>
    <w:basedOn w:val="Normal"/>
    <w:qFormat/>
    <w:rsid w:val="00f74472"/>
    <w:pPr>
      <w:suppressLineNumbers/>
      <w:spacing w:before="120" w:after="120"/>
    </w:pPr>
    <w:rPr>
      <w:rFonts w:cs="Mang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74472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5a4539"/>
    <w:pPr>
      <w:widowControl w:val="false"/>
      <w:bidi w:val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5a4539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Style25">
    <w:name w:val="Title"/>
    <w:basedOn w:val="Normal"/>
    <w:qFormat/>
    <w:rsid w:val="005a4539"/>
    <w:pPr>
      <w:jc w:val="center"/>
    </w:pPr>
    <w:rPr>
      <w:sz w:val="28"/>
    </w:rPr>
  </w:style>
  <w:style w:type="paragraph" w:styleId="Footnotetext">
    <w:name w:val="footnote text"/>
    <w:basedOn w:val="Normal"/>
    <w:semiHidden/>
    <w:qFormat/>
    <w:rsid w:val="005a4539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5a4539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6"/>
    <w:uiPriority w:val="99"/>
    <w:unhideWhenUsed/>
    <w:rsid w:val="00901440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unhideWhenUsed/>
    <w:rsid w:val="0090144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e76a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25ce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a45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7B92D7EB644C0EF50069E9C003D09319B8B3CDF3188B82B698606B546p16BE" TargetMode="External"/><Relationship Id="rId3" Type="http://schemas.openxmlformats.org/officeDocument/2006/relationships/hyperlink" Target="consultantplus://offline/ref=6D7BA3A833767AD1434F0C52DE2ABEB80F568C5722D49381984B705921U2AFF" TargetMode="External"/><Relationship Id="rId4" Type="http://schemas.openxmlformats.org/officeDocument/2006/relationships/hyperlink" Target="http://www.pravo.gov.ru/" TargetMode="External"/><Relationship Id="rId5" Type="http://schemas.openxmlformats.org/officeDocument/2006/relationships/hyperlink" Target="consultantplus://offline/ref=EBE9DC809E806B967617B571FA1833CE335099EEFD14C1B7EEC590A1314F2946F7AA57CBAD20AE4E9232D6J5R6E" TargetMode="External"/><Relationship Id="rId6" Type="http://schemas.openxmlformats.org/officeDocument/2006/relationships/hyperlink" Target="consultantplus://offline/ref=F11CA0BEDC9F8681F975D643EF54E79A8AFE031A971C62AC654EFA13827D15FBB66816CF58F2F451C5CA2Bs2j7E" TargetMode="External"/><Relationship Id="rId7" Type="http://schemas.openxmlformats.org/officeDocument/2006/relationships/hyperlink" Target="consultantplus://offline/ref=4EE9D7DBA3852382E6B7FA83BF18DF72FD6963E1F8A7C296E152B63705o6g5J" TargetMode="External"/><Relationship Id="rId8" Type="http://schemas.openxmlformats.org/officeDocument/2006/relationships/hyperlink" Target="consultantplus://offline/ref=1DA3E51AE0180EC95543DCE6FD1FD774113BB293C9985922C80CA8C859F8AE379522880CB1K83CE" TargetMode="Externa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6" Type="http://schemas.openxmlformats.org/officeDocument/2006/relationships/hyperlink" Target="consultantplus://offline/ref=8188C12DC598D1A95CF4C4C51F21BB449C84A87B0DDDB862A2860BFDEDF7A21B91AAC52410qBB1N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FBFC-F1E4-41B7-A4D2-2BCB599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LibreOffice/5.4.0.3$Windows_x86 LibreOffice_project/7556cbc6811c9d992f4064ab9287069087d7f62c</Application>
  <Pages>31</Pages>
  <Words>7010</Words>
  <Characters>56202</Characters>
  <CharactersWithSpaces>63204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2017-04-13T04:40:00Z</dcterms:created>
  <dc:creator>USER 30</dc:creator>
  <dc:description/>
  <dc:language>ru-RU</dc:language>
  <cp:lastModifiedBy/>
  <cp:lastPrinted>2016-11-22T08:53:00Z</cp:lastPrinted>
  <dcterms:modified xsi:type="dcterms:W3CDTF">2018-07-02T16:32:50Z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